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0E1" w:rsidRDefault="00E240E1" w:rsidP="00E240E1">
      <w:pPr>
        <w:pStyle w:val="ConsPlusTitlePage"/>
      </w:pPr>
      <w:r>
        <w:t xml:space="preserve"> </w:t>
      </w:r>
    </w:p>
    <w:p w:rsidR="00E240E1" w:rsidRPr="00E240E1" w:rsidRDefault="00E240E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240E1">
        <w:rPr>
          <w:rFonts w:ascii="Times New Roman" w:hAnsi="Times New Roman" w:cs="Times New Roman"/>
          <w:sz w:val="24"/>
          <w:szCs w:val="24"/>
        </w:rPr>
        <w:t>ПРАВИТЕЛЬСТВО РОССИЙСКОЙ ФЕДЕРАЦИИ</w:t>
      </w:r>
    </w:p>
    <w:p w:rsidR="00E240E1" w:rsidRPr="00E240E1" w:rsidRDefault="00E240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E240E1" w:rsidRPr="00E240E1" w:rsidRDefault="00E240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от 2 сентября 2021 г. N 2424-р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1. Утвердить прилагаемый Национальный </w:t>
      </w:r>
      <w:hyperlink w:anchor="P41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план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("дорожную карту") развития конкуренции в Российской Федерации на 2021 - 2025 годы (далее - Национальный план).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2. Реализация Национального </w:t>
      </w:r>
      <w:hyperlink w:anchor="P41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плана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осуществляется соответствующими федеральными органами исполнительной власти в пределах установленной численности работников их центральных аппаратов и территориальных органов, а также бюджетных ассигнований, предусмотренных им в федеральном бюджете на выполнение функций в установленной сфере деятельности.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3. Руководителям федеральных органов исполнительной власти, ответственных за реализацию Национального </w:t>
      </w:r>
      <w:hyperlink w:anchor="P41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плана</w:t>
        </w:r>
      </w:hyperlink>
      <w:r w:rsidRPr="00E240E1">
        <w:rPr>
          <w:rFonts w:ascii="Times New Roman" w:hAnsi="Times New Roman" w:cs="Times New Roman"/>
          <w:sz w:val="24"/>
          <w:szCs w:val="24"/>
        </w:rPr>
        <w:t>: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обеспечить реализацию Национального </w:t>
      </w:r>
      <w:hyperlink w:anchor="P41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плана</w:t>
        </w:r>
      </w:hyperlink>
      <w:r w:rsidRPr="00E240E1">
        <w:rPr>
          <w:rFonts w:ascii="Times New Roman" w:hAnsi="Times New Roman" w:cs="Times New Roman"/>
          <w:sz w:val="24"/>
          <w:szCs w:val="24"/>
        </w:rPr>
        <w:t>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ежеквартально, до 5-го числа месяца, следующего за отчетным кварталом, направлять в ФАС России информацию о ходе реализации Национального </w:t>
      </w:r>
      <w:hyperlink w:anchor="P41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плана</w:t>
        </w:r>
      </w:hyperlink>
      <w:r w:rsidRPr="00E240E1">
        <w:rPr>
          <w:rFonts w:ascii="Times New Roman" w:hAnsi="Times New Roman" w:cs="Times New Roman"/>
          <w:sz w:val="24"/>
          <w:szCs w:val="24"/>
        </w:rPr>
        <w:t>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4. ФАС России: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обеспечить мониторинг и контроль реализации Национального </w:t>
      </w:r>
      <w:hyperlink w:anchor="P41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плана</w:t>
        </w:r>
      </w:hyperlink>
      <w:r w:rsidRPr="00E240E1">
        <w:rPr>
          <w:rFonts w:ascii="Times New Roman" w:hAnsi="Times New Roman" w:cs="Times New Roman"/>
          <w:sz w:val="24"/>
          <w:szCs w:val="24"/>
        </w:rPr>
        <w:t>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ежеквартально, до 25-го числа месяца, следующего за отчетным кварталом, представлять в Правительство Российской Федерации информацию о ходе реализации Национального </w:t>
      </w:r>
      <w:hyperlink w:anchor="P41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плана</w:t>
        </w:r>
      </w:hyperlink>
      <w:r w:rsidRPr="00E240E1">
        <w:rPr>
          <w:rFonts w:ascii="Times New Roman" w:hAnsi="Times New Roman" w:cs="Times New Roman"/>
          <w:sz w:val="24"/>
          <w:szCs w:val="24"/>
        </w:rPr>
        <w:t>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5. Рекомендовать органам государственной власти субъектов Российской Федерации: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обеспечить ежегодное размещение на официальных сайтах органов исполнительной власти, ответственных за реализацию государственной политики по развитию конкуренции в субъекте Российской Федерации,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</w:t>
      </w:r>
      <w:hyperlink w:anchor="P41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плана</w:t>
        </w:r>
      </w:hyperlink>
      <w:r w:rsidRPr="00E240E1">
        <w:rPr>
          <w:rFonts w:ascii="Times New Roman" w:hAnsi="Times New Roman" w:cs="Times New Roman"/>
          <w:sz w:val="24"/>
          <w:szCs w:val="24"/>
        </w:rPr>
        <w:t>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 срок до 1 января 2022 г. утвердить планы мероприятий ("дорожные карты") по содействию развитию конкуренции в субъектах Российской Федерации на 2022 - 2025 годы;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 срок до 31 декабря 2023 г. обеспечить равный доступ образовательных организаций всех форм собственности и индивидуальных предпринимателей к участию в системе персонифицированного финансирования дополнительного образования детей (за исключением финансирования дополнительного образования в детских школах искусств);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 срок до 31 декабря 2024 г. обеспечить реализацию мероприятий, направленных на увеличение количества нестационарных и мобильных торговых объектов и торговых мест под них;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 срок до 1 января 2024 г. определить состав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lastRenderedPageBreak/>
        <w:t>в срок до 31 декабря 2025 г.: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обеспечить приватизацию имущества, находящегося в собственности субъектов Российской Федерации, не используемого для реализации функций и полномочий органов государственной власти субъектов Российской Федерации;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с участием органов местного самоуправления обеспечить организацию инвентаризации кладбищ и мест захоронений на них, создание в субъектах Российской Федерации по результатам такой инвентаризации и ведение реестров кладбищ и мест захоронений с размещением указанных реестров на региональных порталах государственных и муниципальных услуг.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6. Рекомендовать органам местного самоуправления: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 срок до 31 декабря 2024 г. обеспечить реализацию мероприятий, направленных на увеличение количества нестационарных и мобильных торговых объектов и торговых мест под них;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 срок до 1 января 2024 г. определить состав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 срок до 31 декабря 2025 г. обеспечить приватизацию либо перепрофилирование (изменение целевого назначения имущества) муниципального имущества, не соответствующего требованиям отнесения к категории имущества, предназначенного для реализации функций и полномочий органов местного самоуправления.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E240E1" w:rsidRPr="00E240E1" w:rsidRDefault="00E240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E240E1" w:rsidRPr="00E240E1" w:rsidRDefault="00E240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М.МИШУСТИН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Утвержден</w:t>
      </w:r>
    </w:p>
    <w:p w:rsidR="00E240E1" w:rsidRPr="00E240E1" w:rsidRDefault="00E240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распоряжением Правительства</w:t>
      </w:r>
    </w:p>
    <w:p w:rsidR="00E240E1" w:rsidRPr="00E240E1" w:rsidRDefault="00E240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E240E1" w:rsidRPr="00E240E1" w:rsidRDefault="00E240E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от 2 сентября 2021 г. N 2424-р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1"/>
      <w:bookmarkEnd w:id="1"/>
      <w:r w:rsidRPr="00E240E1">
        <w:rPr>
          <w:rFonts w:ascii="Times New Roman" w:hAnsi="Times New Roman" w:cs="Times New Roman"/>
          <w:sz w:val="24"/>
          <w:szCs w:val="24"/>
        </w:rPr>
        <w:t>НАЦИОНАЛЬНЫЙ ПЛАН</w:t>
      </w:r>
    </w:p>
    <w:p w:rsidR="00E240E1" w:rsidRPr="00E240E1" w:rsidRDefault="00E240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("ДОРОЖНАЯ КАРТА") РАЗВИТИЯ КОНКУРЕНЦИИ В РОССИЙСКОЙ</w:t>
      </w:r>
    </w:p>
    <w:p w:rsidR="00E240E1" w:rsidRPr="00E240E1" w:rsidRDefault="00E240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ФЕДЕРАЦИИ НА 2021 - 2025 ГОДЫ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I. Оценка реализации государственной политики</w:t>
      </w:r>
    </w:p>
    <w:p w:rsidR="00E240E1" w:rsidRPr="00E240E1" w:rsidRDefault="00E240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по развитию конкуренции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 июля 2020 г. N 474 "О национальных целях развития Российской Федерации на период до 2030 года" определены 5 национальных целей развития Российской Федерации: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сохранение населения, здоровье и благополучие людей;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возможности для самореализации и развития талантов;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lastRenderedPageBreak/>
        <w:t>комфортная и безопасная среда для жизни;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достойный, эффективный труд и успешное предпринимательство;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цифровая трансформация.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Достижение указанных национальных целей является многоаспектной задачей, решение которой в значительной степени зависит от эффективности проведения государственной политики по широкому спектру направлений - от макроэкономической политики, создания благоприятного инвестиционного климата, включая развитие финансовой и налоговой системы, снижения административных и инфраструктурных барьеров до защиты прав граждан и региональной политики.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Конкурентная политика представляет собой комплекс последовательных мер, осуществляемых государством в целях обеспечения условий для конкуренции хозяйствующих субъектов, повышения эффективности и конкурентоспособности российской экономики, модернизации предприятий и создания условий для обеспечения экономически эффективным способом потребностей граждан в товарах и услугах.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21 декабря 2017 г. принят </w:t>
      </w:r>
      <w:hyperlink r:id="rId5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Указ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N 618 "Об основных направлениях государственной политики по развитию конкуренции" (далее - Указ N 618). Основной целью </w:t>
      </w:r>
      <w:hyperlink r:id="rId6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Указа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N 618 является укрепление национальной экономики, повышение удовлетворенности потребителей за счет расширения ассортимента товаров, работ, услуг, повышения их качества и снижения цен.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Таким образом, решение задач по развитию конкуренции является одним из элементов обеспечения достижения национальных целей.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Национальный план развития конкуренции в Российской Федерации на 2018 - 2020 годы, утвержденный </w:t>
      </w:r>
      <w:hyperlink r:id="rId7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N 618, ориентирован на достижение целей и задач по развитию конкуренции в наиболее значимых отраслях экономики.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5 апреля 2018 г. состоялось заседание Государственного совета Российской Федерации по вопросу приоритетных направлений деятельности субъектов Российской Федерации по содействию развитию конкуренции в стране.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Основные подходы к реализации </w:t>
      </w:r>
      <w:proofErr w:type="spellStart"/>
      <w:r w:rsidRPr="00E240E1">
        <w:rPr>
          <w:rFonts w:ascii="Times New Roman" w:hAnsi="Times New Roman" w:cs="Times New Roman"/>
          <w:sz w:val="24"/>
          <w:szCs w:val="24"/>
        </w:rPr>
        <w:t>проконкурентной</w:t>
      </w:r>
      <w:proofErr w:type="spellEnd"/>
      <w:r w:rsidRPr="00E240E1">
        <w:rPr>
          <w:rFonts w:ascii="Times New Roman" w:hAnsi="Times New Roman" w:cs="Times New Roman"/>
          <w:sz w:val="24"/>
          <w:szCs w:val="24"/>
        </w:rPr>
        <w:t xml:space="preserve"> политики в регионах Российской Федерации закреплены в </w:t>
      </w:r>
      <w:hyperlink r:id="rId8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стандарте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развития конкуренции в субъектах Российской Федерации, утвержденном распоряжением Правительства Российской Федерации от 17 апреля 2019 г. N 768-р.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Вопросы развития конкуренции стали неотъемлемой частью региональной экономической политики, во всех субъектах Российской Федерации разработаны и реализуются "дорожные карты" по содействию развитию конкуренции на товарных рынках, нацеленные на достижение ключевых показателей, установленных на региональном уровне.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На сегодняшний день в результате реализации действующих стратегических документов и поручений в Российской Федерации созданы правовые и организационные основы развития конкуренции.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Положительную роль в развитии конкуренции сыграли государственные программы и планы развития конкуренции, которые были реализованы в период до 2018 года, в частности: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Государственная </w:t>
      </w:r>
      <w:hyperlink r:id="rId9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программа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демонополизации экономики и развития конкуренции на рынках Российской Федерации (основные направления и первоочередные меры), утвержденная постановлением Правительства Российской Федерации от 9 марта 1994 г. N 191 "О Государственной программе демонополизации экономики и развития конкуренции на рынках Российской Федерации (основные направления и первоочередные меры)";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Программа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развития конкуренции в Российской Федерации, утвержденная распоряжением Правительства Российской Федерации от 19 мая 2009 г. N 691-р;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план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мероприятий ("дорожная карта") "Развитие конкуренции и совершенствование антимонопольной политики", утвержденный распоряжением Правительства Российской Федерации от 28 декабря 2012 г. N 2579-р.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Определенные результаты были достигнуты в результате реализации мероприятий, предусмотренных Национальным планом развития конкуренции в Российской Федерации на 2018 - 2020 годы, утвержденным </w:t>
      </w:r>
      <w:hyperlink r:id="rId12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N 618, </w:t>
      </w:r>
      <w:hyperlink r:id="rId13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планом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мероприятий ("дорожной картой")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2018 - 2020 годы, утвержденным распоряжением Правительства Российской Федерации от 16 августа 2018 г. N 1697-р.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Таким образом, удалось обеспечить присутствие во всех отраслях экономики Российской Федерации, за исключением сфер деятельности субъектов естественных монополий и организаций оборонно-промышленного комплекса, не менее трех хозяйствующих субъектов, из которых не менее чем один относится к частному бизнесу.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Данный ключевой показатель отражает количественное изменение состояния конкуренции на товарных рынках и при этом создает основу для перехода к решению новых задач, связанных уже с качественными изменениями.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Количество зафиксированных нарушений антимонопольного законодательства со стороны органов государственной власти и органов местного самоуправления в 2020 году снизилось в 2 раза по сравнению с 2017 годом.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Среди мероприятий, реализованных в рамках исполнения Национального плана развития конкуренции в Российской Федерации на 2018 - 2020 годы, в качестве наиболее значимых с точки зрения экономического эффекта и положительного влияния на экономику Российской Федерации можно отметить следующие: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принят Федеральный </w:t>
      </w:r>
      <w:hyperlink r:id="rId14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"О внесении изменений в Федеральный закон "О государственных и муниципальных унитарных предприятиях" и Федеральный закон "О защите конкуренции", направленный на запрет осуществления унитарными предприятиями деятельности на конкурентных рынках и снижение доли государственного сектора в экономике;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на территории Российской Федерации отменен национальный и внутрисетевой роуминг;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приняты правила недискриминационного доступа на товарный рынок услуг общедоступной почтовой связи и в сфере теплоснабжения;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расширены масштабы биржевой торговли наличными товарами (нефть, нефтепродукты, природный газ, лес, сахар, зерно и др.) и производными финансовыми инструментами, в агропромышленном комплексе повысилась товарность основных видов сельскохозяйственной продукции, расширилась география поставок товаров, реализуемых </w:t>
      </w:r>
      <w:r w:rsidRPr="00E240E1">
        <w:rPr>
          <w:rFonts w:ascii="Times New Roman" w:hAnsi="Times New Roman" w:cs="Times New Roman"/>
          <w:sz w:val="24"/>
          <w:szCs w:val="24"/>
        </w:rPr>
        <w:lastRenderedPageBreak/>
        <w:t>на биржевых торгах;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в рамках усиления борьбы с картелями и иными </w:t>
      </w:r>
      <w:proofErr w:type="spellStart"/>
      <w:r w:rsidRPr="00E240E1">
        <w:rPr>
          <w:rFonts w:ascii="Times New Roman" w:hAnsi="Times New Roman" w:cs="Times New Roman"/>
          <w:sz w:val="24"/>
          <w:szCs w:val="24"/>
        </w:rPr>
        <w:t>антиконкурентными</w:t>
      </w:r>
      <w:proofErr w:type="spellEnd"/>
      <w:r w:rsidRPr="00E240E1">
        <w:rPr>
          <w:rFonts w:ascii="Times New Roman" w:hAnsi="Times New Roman" w:cs="Times New Roman"/>
          <w:sz w:val="24"/>
          <w:szCs w:val="24"/>
        </w:rPr>
        <w:t xml:space="preserve"> соглашениями состоялась 18-я сессия Межправительственной группы экспертов по законодательству и политике в области конкуренции ЮНКТАД, по итогам которой был одобрен текст Руководящих принципов и процедур международного сотрудничества в соответствии с Секцией F Комплекса согласованных на многосторонней основе справедливых принципов и правил для контроля за ограничительной деловой практикой;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ограничена возможность региональных органов исполнительной власти принимать решения об установлении индексов изменения платы граждан за коммунальные услуги выше предельных уровней;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внедрен принцип ценового (тарифного) регулирования, стимулирующий организации к сокращению издержек;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введен метод предельного ценообразования на услуги общедоступной электросвязи и почтовой связи;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 сфере газоснабжения обеспечен переход к рыночному ценообразованию путем формирования биржевых и внебиржевых индикаторов цен на природный газ.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Реализация указанных мероприятий способствовала достижению целей и задач, определенных в </w:t>
      </w:r>
      <w:hyperlink r:id="rId15" w:history="1">
        <w:r w:rsidRPr="00E240E1">
          <w:rPr>
            <w:rFonts w:ascii="Times New Roman" w:hAnsi="Times New Roman" w:cs="Times New Roman"/>
            <w:color w:val="0000FF"/>
            <w:sz w:val="24"/>
            <w:szCs w:val="24"/>
          </w:rPr>
          <w:t>Указе</w:t>
        </w:r>
      </w:hyperlink>
      <w:r w:rsidRPr="00E240E1">
        <w:rPr>
          <w:rFonts w:ascii="Times New Roman" w:hAnsi="Times New Roman" w:cs="Times New Roman"/>
          <w:sz w:val="24"/>
          <w:szCs w:val="24"/>
        </w:rPr>
        <w:t xml:space="preserve"> N 618, в том числе таких как: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развитие конкуренции в сферах экономической деятельности государственных предприятий, предприятий с государственным участием. В частности, количество унитарных предприятий уменьшилось на 31,8 процента за 2018 - 2020 годы;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повышение удовлетворенности потребителей, в том числе за счет снижения цен. В результате отмены внутрисетевого роуминга экономия для потребителей составила порядка 6 млрд. рублей и одновременно возрос объем данных услуг связи;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обеспечение равного доступа к товарам и услугам субъектов естественных монополий. В частности, в результате принятия правил недискриминационного доступа в сфере теплоснабжения созданы условия для преодоления барьеров, таких как избыточные требования документов, необоснованный отказ в предоставлении услуги, долгое ожидание, отсутствие гарантии результата и прочее в процессе доступа потребителей к услугам.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Однако не все меры, предусмотренные программами, оказались достаточными для эффективного развития конкуренции.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 начале текущего десятилетия российская экономика оказалась перед долговременными системными вызовами, отражающими как мировые тенденции, так и внутренние барьеры развития.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Анализ глобальных экономических процессов позволяет сделать выводы о значительном изменении традиционных подходов и системы экономических отношений. Одним из главных факторов мирового экономического роста на современном этапе стали цифровые преобразования.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Структурные сдвиги в экономике происходят все стремительнее. Происходящие изменения настолько значительны, что могут быть охарактеризованы как крупнейший за всю историю технологический переход, когда богатство природных ресурсов и дешевизна труда перестают быть основными факторами роста экономики.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lastRenderedPageBreak/>
        <w:t xml:space="preserve">Еще одним вызовом как для российской экономики, так и для мировой экономики в целом стало распространение новой </w:t>
      </w:r>
      <w:proofErr w:type="spellStart"/>
      <w:r w:rsidRPr="00E240E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E240E1">
        <w:rPr>
          <w:rFonts w:ascii="Times New Roman" w:hAnsi="Times New Roman" w:cs="Times New Roman"/>
          <w:sz w:val="24"/>
          <w:szCs w:val="24"/>
        </w:rPr>
        <w:t xml:space="preserve"> инфекции (COVID-19). Многие страны мира предприняли превентивные меры: закрыли границы, прекратили авиасообщение, ввели режимы самоизоляции и карантина.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Факторами, сдерживающими развитие конкуренции, продолжают оставаться следующие: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высокая доля государственного сектора в экономике;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монополизация рынков и их </w:t>
      </w:r>
      <w:proofErr w:type="spellStart"/>
      <w:r w:rsidRPr="00E240E1">
        <w:rPr>
          <w:rFonts w:ascii="Times New Roman" w:hAnsi="Times New Roman" w:cs="Times New Roman"/>
          <w:sz w:val="24"/>
          <w:szCs w:val="24"/>
        </w:rPr>
        <w:t>олигопольный</w:t>
      </w:r>
      <w:proofErr w:type="spellEnd"/>
      <w:r w:rsidRPr="00E240E1">
        <w:rPr>
          <w:rFonts w:ascii="Times New Roman" w:hAnsi="Times New Roman" w:cs="Times New Roman"/>
          <w:sz w:val="24"/>
          <w:szCs w:val="24"/>
        </w:rPr>
        <w:t xml:space="preserve"> характер;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недостаточная доля малых и средних предприятий в структуре экономики Российской Федерации;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сохраняющиеся ограничения доступа к инфраструктуре.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Каждый из вышеприведенных факторов непосредственным образом влияет на устойчивость экономического "иммунитета" Российской Федерации к текущей ситуации и развивающемуся в настоящее время глобальному экономическому кризису.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Решение задач по совершенствованию правовых и организационных мер обеспечения, защиты и развития конкуренции, позволяющих противостоять глобальным экономическим вызовам, возможно только при условии преодоления внутренних ограничений, сдерживающих экономический рост.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На следующем этапе реализации государственной политики по развитию конкуренции необходимы качественные системные, институциональные и организационные изменения, а также дальнейшие шаги по развитию конкуренции в отраслях национальной экономики.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II. Задачи, ключевые показатели и ожидаемые результаты</w:t>
      </w:r>
    </w:p>
    <w:p w:rsidR="00E240E1" w:rsidRPr="00E240E1" w:rsidRDefault="00E240E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развития конкуренции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1. Задачи Национального плана ("дорожной карты") по развитию конкуренции в Российской Федерации на 2021 - 2025 годы (далее - Национальный план) определяются целями обеспечения экономического роста и необходимостью преодоления барьеров, сдерживающих развитие российской экономики, и включают в себя: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развитие добросовестной конкуренции на товарных рынках;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снижение барьеров для поставщиков и потребителей товаров, работ и услуг;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40E1">
        <w:rPr>
          <w:rFonts w:ascii="Times New Roman" w:hAnsi="Times New Roman" w:cs="Times New Roman"/>
          <w:sz w:val="24"/>
          <w:szCs w:val="24"/>
        </w:rPr>
        <w:t>дерегулирование</w:t>
      </w:r>
      <w:proofErr w:type="spellEnd"/>
      <w:r w:rsidRPr="00E240E1">
        <w:rPr>
          <w:rFonts w:ascii="Times New Roman" w:hAnsi="Times New Roman" w:cs="Times New Roman"/>
          <w:sz w:val="24"/>
          <w:szCs w:val="24"/>
        </w:rPr>
        <w:t xml:space="preserve"> сфер естественных монополий и отдельных регулируемых сфер деятельности, в которых созданы условия для развития конкуренции, на основании анализа состояния конкуренции;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обеспечение эффективного и прозрачного управления государственной и муниципальной собственностью, в том числе вовлечение в хозяйственный оборот неиспользуемого и непрофильного государственного и муниципального имущества (в том числе в социальной сфере), унификация процедур распоряжения государственной и муниципальной собственностью на основе аукционов, проводимых в электронной форме;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обеспечение равных условий деятельности на конкурентных рынках для компаний с государственным участием и организаций частной формы собственности;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lastRenderedPageBreak/>
        <w:t>развитие малого и среднего предпринимательства;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унификация и систематизация государственных и муниципальных преференций хозяйствующим субъектам;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замена мер государственного регулирования экономических отношений на меры экономического стимулирования;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обеспечение недискриминационного доступа к природным ресурсам;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 xml:space="preserve">развитие организованной (биржевой) торговли товарами, производными финансовыми инструментами, базисным активом которых является товар, в том числе создание в Российской Федерации отвечающего международным стандартам биржевого товарного рынка фьючерсных контрактов и других товарных </w:t>
      </w:r>
      <w:proofErr w:type="spellStart"/>
      <w:r w:rsidRPr="00E240E1">
        <w:rPr>
          <w:rFonts w:ascii="Times New Roman" w:hAnsi="Times New Roman" w:cs="Times New Roman"/>
          <w:sz w:val="24"/>
          <w:szCs w:val="24"/>
        </w:rPr>
        <w:t>деривативов</w:t>
      </w:r>
      <w:proofErr w:type="spellEnd"/>
      <w:r w:rsidRPr="00E240E1">
        <w:rPr>
          <w:rFonts w:ascii="Times New Roman" w:hAnsi="Times New Roman" w:cs="Times New Roman"/>
          <w:sz w:val="24"/>
          <w:szCs w:val="24"/>
        </w:rPr>
        <w:t>, создание условий для реализации биржевых товаров на экспорт на российских биржах за рубли;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40E1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E240E1">
        <w:rPr>
          <w:rFonts w:ascii="Times New Roman" w:hAnsi="Times New Roman" w:cs="Times New Roman"/>
          <w:sz w:val="24"/>
          <w:szCs w:val="24"/>
        </w:rPr>
        <w:t xml:space="preserve"> антимонопольного и тарифного регулирования;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расширение и повышение эффективности международного сотрудничества, направленного на обеспечение защиты и развития конкуренции, а также восстановление условий конкуренции в Российской Федерации при нарушении антимонопольного законодательства;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создание условий для развития конкуренции в сфере государственного оборонного заказа, стимулирующих увеличение доли государственных контрактов, заключенных путем проведения конкурентных процедур, и повышения эффективности механизма ценообразования в сфере государственного оборонного заказа;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развитие межвидовой конкуренции и конкуренции между компаниями в сфере транспорта с учетом необходимости обеспечения безопасности и финансовой устойчивости перевозчиков.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2. В целях контроля выполнения поставленных задач и достижения целей совершенствования государственной политики по развитию конкуренции устанавливаются следующие ключевые показатели развития конкуренции: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37"/>
        <w:gridCol w:w="1276"/>
        <w:gridCol w:w="1417"/>
        <w:gridCol w:w="2356"/>
      </w:tblGrid>
      <w:tr w:rsidR="00E240E1" w:rsidRPr="00E240E1">
        <w:tc>
          <w:tcPr>
            <w:tcW w:w="4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Наименование контрольного показателя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35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 с государственным и муниципальным участием в отраслях (сферах), указанных в </w:t>
            </w:r>
            <w:hyperlink w:anchor="P142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3 раздела II</w:t>
              </w:r>
            </w:hyperlink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плана </w:t>
            </w:r>
            <w:hyperlink w:anchor="P140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менее чем в 2020 году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42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3 раздела II</w:t>
              </w:r>
            </w:hyperlink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плана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Численность занятых в сфере малого и среднего предпринимательства, включая индивидуальных предпринимателей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млн. человек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не менее 25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42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3 раздела II</w:t>
              </w:r>
            </w:hyperlink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плана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</w:t>
            </w:r>
            <w:hyperlink r:id="rId16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91-р</w:t>
              </w:r>
            </w:hyperlink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и от 30 августа 2017 г. </w:t>
            </w:r>
            <w:hyperlink r:id="rId17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N 1870-р</w:t>
              </w:r>
            </w:hyperlink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, в соответствии с законодательством 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по отношению к общему объему таких закупок в денежном выражении, 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 закупок, осуществляемых в связи с признанием конкурентных закупок несостоявшимися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процентов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менее чем в 2020 году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федеральные органы исполнительной власти, осуществляющие функции по выработке и реализации государственной политики в установленных сферах деятельности, указанных в </w:t>
            </w:r>
            <w:hyperlink w:anchor="P142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3 раздела II</w:t>
              </w:r>
            </w:hyperlink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Национального плана</w:t>
            </w:r>
          </w:p>
        </w:tc>
      </w:tr>
    </w:tbl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0"/>
      <w:bookmarkEnd w:id="2"/>
      <w:r w:rsidRPr="00E240E1">
        <w:rPr>
          <w:rFonts w:ascii="Times New Roman" w:hAnsi="Times New Roman" w:cs="Times New Roman"/>
          <w:sz w:val="24"/>
          <w:szCs w:val="24"/>
        </w:rPr>
        <w:t>&lt;*&gt; Методика расчета доли организаций с государственным и муниципальным участием утверждается федеральным антимонопольным органом.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42"/>
      <w:bookmarkEnd w:id="3"/>
      <w:r w:rsidRPr="00E240E1">
        <w:rPr>
          <w:rFonts w:ascii="Times New Roman" w:hAnsi="Times New Roman" w:cs="Times New Roman"/>
          <w:sz w:val="24"/>
          <w:szCs w:val="24"/>
        </w:rPr>
        <w:t>3. Ожидаемые результаты развития конкуренции в отдельных отраслях (сферах) экономики (видах деятельности):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4"/>
        <w:gridCol w:w="2211"/>
      </w:tblGrid>
      <w:tr w:rsidR="00E240E1" w:rsidRPr="00E240E1"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221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1. Агропромышленный комплекс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На федеральном и региональном уровнях обеспечена возможность подачи сельскохозяйственными товаропроизводителями заявления на получение субсидий в электронном виде через государственную информационную систему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Минсельхоз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Увеличено количество субъектов малого и среднего предпринимательства, включая крестьянские (фермерские) хозяйства и сельскохозяйственные кооперативы, получивших субсидии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Минсельхоз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Расширена номенклатура сельскохозяйственных товаров, реализуемых на бирже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Минсельхоз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2. Информационные технологии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На рынках услуг в сфере информационных технологий, в том числе на рынках программного обеспечения, программно-аппаратных комплексов (разработка, поддержка, развитие, внедрение, предоставление доступа, обеспечение функционирования), отсутствуют унитарные предприятия, за исключением случаев, предусмотренных федеральными законами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 ввод в промышленную эксплуатацию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сфере: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количество пользователей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 - одна тысяча в 2023 году;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количество пользователей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 - 20 тыс. в 2025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Минобороны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Реализован функционал специализированной торговой площадки, обеспечивающий возможность проведения закрытых торгов, информация о которых содержит сведения, составляющие государственную тайну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ФСБ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ФСТЭК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3. Сфера обращения твердых коммунальных отходов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 30 процентов к 2025 году объема твердых коммунальных отходов, транспортируемых организациями частных форм собственности (негосударственными и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немуниципальными организациями) и не аффилированными с региональным оператором по обращению с твердыми коммунальными отходами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Минприроды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4. Сфера финансовых рынков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 равный доступ финансовым организациям, в том числе являющимся субъектами малого и среднего предпринимательства, к государственным программам субсидирования из средств бюджета льготного финансирования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Обеспечено проведение открытых процедур отбора кредитных или иных специализированных финансовых организаций - агентов по размещению, выкупу, обмену, обслуживанию и погашению выпусков облигаций федерального займа для населения, а также обеспечена возможность реализации указанных облигаций населению посредством использования электронных платформ, обеспечивающих удаленное взаимодействие финансовых организаций с потребителями финансовых услуг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Создан не менее чем один новый рынок производных финансовых инструментов, базисным активом которых является товар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5. Природные ресурсы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Расширен доступ организаций, обладающих необходимым опытом и финансовыми ресурсами, в состав потенциальных пользователей участков нераспределенного фонда недр федерального значения, расположенных на континентальном шельфе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Минвостокразвития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Минприроды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6. Электроэнергетика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Снижены сроки технологического присоединения к электрическим сетям до 90 дней к 2025 году в случаях, когда максимальная мощность заявителя составляет до 150 кВт и сетевой организации требуется строительство "последней мили" на расстоянии 300 - 500 метров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по подключению (технологическому присоединению) объектов капитального строительства к сетям инженерно-технического обеспечения осуществляется в электронной форме не менее чем в 40 субъектах Российской Федерации к 2025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Не увеличены территории ценовых зон оптового рынка электрической энергии и мощности, для которых устанавливаются особенности функционирования оптового и розничных рынков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Доля организаций частной формы собственности составляет не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менее: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30 процентов для организаций, осуществляющих деятельность по производству электроэнергии на розничном рынке;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30 процентов для организаций, осуществляющих деятельность по купле-продаже электроэнергии (</w:t>
            </w: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энергосбытовую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деятельность) на розничном рынке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7. Сфера транспорта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Воздушный транспорт: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Обеспечены равные условия дистрибуции авиабилетов через глобальные и российские системы бронирования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Минтранс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Обеспечена деятельность минимум одного независимого оператора, не входящего в группу лиц с оператором аэропорта, оказывающего услуги по наземному обслуживанию в аэропортах с пассажирооборотом свыше 3 млн. человек в год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Минтранс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Железнодорожный транспорт: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недискриминационной основе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Минтранс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Городской транспорт (автобусы):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Доля услуг (работ) по перевозке пассажиров автомобильным транспортом: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 муниципальным маршрутам регулярных перевозок, оказанных (выполненных) организациями частной формы собственности, - не менее 20 процентов;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 межмуниципальным маршрутам регулярных перевозок, оказанных (выполненных) организациями частной формы собственности, - не менее 30 процентов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Минтранс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8. Сфера образования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Во всех субъектах Российской Федерации обеспечено внедрение не позднее 2024 года системы персонифицированного финансирования дополнительного образования детей (за исключением финансирования дополнительного образования в детских школах искусств)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 субъектах Российской Федерации разработаны меры поддержки частных образовательных организаций, реализующих образовательную программу дошкольного образования и (или) осуществляющих присмотр и уход за детьми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Обеспечено включение в примерные основные образовательные программы основного общего и среднего общего образования тем, посвященных государственной политике по развитию конкуренции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детей, получающих образование в организациях частной формы собственности, от общего числа детей, получающих образование, составляет не менее: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1,6 процента на рынках дошкольного образования;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процента на рынках общего образования;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7,5 процента на рынках среднего профессионального образования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9. Сфера здравоохранения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На рынках лекарственных средств: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 1 июля 2022 г. проведена работа по определению взаимозаменяемости лекарственных препаратов для не менее чем 50 процентов лекарственных препаратов,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 31 декабря 2022 г. - для не менее чем 55 процентов лекарственных препаратов,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 31 декабря 2023 г. - для не менее 60 процентов лекарственных препаратов,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 31 декабря 2024 г. - для не менее 65 процентов лекарственных препаратов,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 31 декабря 2025 г. - для не менее 70 процентов лекарственных препаратов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Минздрав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Система возмещения стоимости лекарственного обеспечения внедрена: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 не менее чем 10 пилотных регионах - к 2023 году,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во всех регионах - к 2025 году при условии выделения достаточных средств на пилотный проект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Минздрав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составляет: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на рынках медицинских услуг - не менее 10 процентов, в том числе доля субъектов малого и среднего предпринимательства - не менее 80 процентов;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на рынках розничной торговли лекарственными препаратами, медицинскими изделиями - не менее 70 процентов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10. Ритуальные услуги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 субъектах Российской Федерации созданы и размещены на региональных порталах государственных и муниципальных услуг реестры кладбищ и мест захоронений на них, в которые включены сведения о существующих кладбищах и местах захоронений на них: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 отношении 20 процентов общего количества существующих кладбищ - до 31 декабря 2023 г.;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 отношении 50 процентов общего количества существующих кладбищ - до 31 декабря 2024 г.;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 отношении всех существующих кладбищ - до 31 декабря 2025 г.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Минстрой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 субъектах Российской Федерации до 1 сентября 2023 г.: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созданы и размещены на региональных порталах государственных и муниципальных услуг реестры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хозяйствующих субъектов, имеющих право на оказание услуг по организации похорон;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оказание услуг по организации похорон организовано по принципу "одного окна" на основе конкуренции с предоставлением лицам, ответственным за захоронения, полной информации об указанных хозяйствующих субъектах, содержащейся в таких реестрах, включая стоимость оказываемых хозяйствующими субъектами ритуальных услуг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Минстрой России, </w:t>
            </w: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Обеспечено оказание ритуальных услуг по принципу "одного окна"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Минстрой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11. Энергетика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Газ: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торговле природным газом не менее 10 процентов общего объема поставок на территорию Российской Федерации составляет объем газа, поставка которого осуществлена по договорам, заключенным на биржевых торгах, в которых приняли участие не менее 5 продавцов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Созданы ликвидные биржевые и внебиржевые индикаторы цен на природный газ, сжиженный углеводородный газ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ФНС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Сроки подключения (технологического присоединения) к сетям газораспределения составляют не более 135 дней для заявителей первой категории в соответствии с </w:t>
            </w:r>
            <w:hyperlink r:id="rId18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Правилами</w:t>
              </w:r>
            </w:hyperlink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 декабря 2013 г. N 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Минстрой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 по подключению (технологическому присоединению) объектов капитального строительства к сетям газораспределения осуществляется через многофункциональные центры не менее чем в 45 субъектах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Сокращены объемы перекрестного субсидирования в рамках долгосрочного тарифного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Нефть и нефтепродукты: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Увеличена доля реализованных на биржевых торгах нефтепродуктов (автомобильные бензины, авиационный керосин, битум, сжиженный углеводородный газ, дизельное топливо, мазут) от общего объема производства по сравнению с 2020 годом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Обеспечено развитие экспорта нефти и нефтепродуктов с применением прозрачных форм торговли (организованные торги, аукционы)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Обеспечено развитие маркерного сорта российской нефти "Юралс" и повышена его ликвидность как независимого эталонного сорта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Формирование внебиржевых индексов цен на авиационный керосин в центрах потребления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Формирование биржевых и внебиржевых индексов цен на битум, судовое топливо в центрах потребления и на нефтепродукты, реализованные мелким оптом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ФНС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Угольная промышленность: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Объем энергетического угля, реализованного на бирже, составляет не менее 10 процентов поставок на территорию Российской Федерации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совместно с заинтересованными федеральными органами исполнительной власти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Обеспечено использование биржевых и внебиржевых индексов цен в целях повышения эффективности применения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ФНС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Созданы ликвидные биржевые и внебиржевые индикаторы цен на энергетический уголь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12. Химическая промышленность и нефтегазохимическая промышленность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Доля реализации химической и нефтегазохимической продукции на организованных торгах от поставок на внутренний рынок, в том числе в мелкооптовом сегменте, составляет для парафинов, </w:t>
            </w: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ортоксилола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, толуола не менее 10 процентов объемов продаж на территории Российской Федерации каждого производителя, занимающего доминирующее положение на соответствующих товарных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рынках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ФАС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Расширена номенклатура химической и нефтегазохимической продукции, реализуемой на организованных торгах с учетом спроса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Минпромторг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ликвидные биржевые и внебиржевые индикаторы цен на минеральные удобрения, парафины, </w:t>
            </w: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ортоксилол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, толуол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Минпромторг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13. Строительство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Осуществлен переход к взаимодействию субъектов градостроительных отношений с государственными органами и органами местного самоуправления в единой цифровой среде управления жизненным циклом объекта капитального строительства на основе единых классификаторов, форматов и регламентов информационного обмена, учитывающих возможность использования технологий информационного моделирования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Минстрой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Доля организаций частной формы собственности в объеме выполненных работ по виду экономической деятельности "Строительство" составляет не менее 91 процента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Минстрой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14. Торговля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Увеличено количество нестационарных торговых объектов и торговых мест под них не менее чем на 10 процентов к 2025 году по отношению к 2020 году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Минпромторг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органы исполнительной власти субъектов Российской Федерации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15. Лесной комплекс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Обеспечено развитие ликвидных биржевых торгов лесоматериалами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Минприроды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Минпромторг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Создание ликвидных биржевых индикаторов на лесоматериалы, основанных на результатах биржевых торгов лесоматериалами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Минприроды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Минпромторг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Использование биржевых и внебиржевых индексов цен в сферах налогового, бюджетного регулирования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ФНС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Минприроды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Минпромторг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</w:tbl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III. Мероприятия Национального плана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rPr>
          <w:rFonts w:ascii="Times New Roman" w:hAnsi="Times New Roman" w:cs="Times New Roman"/>
          <w:sz w:val="24"/>
          <w:szCs w:val="24"/>
        </w:rPr>
        <w:sectPr w:rsidR="00E240E1" w:rsidRPr="00E240E1" w:rsidSect="009522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4706"/>
        <w:gridCol w:w="1701"/>
        <w:gridCol w:w="1984"/>
        <w:gridCol w:w="2324"/>
      </w:tblGrid>
      <w:tr w:rsidR="00E240E1" w:rsidRPr="00E240E1">
        <w:tc>
          <w:tcPr>
            <w:tcW w:w="5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  <w:hyperlink w:anchor="P728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 (соисполнители)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 осуществлению приватизации федерального имущества, не используемого для реализации государственных функций и полномочий (непрофильного имущества)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Росимущество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Банк России в части финансовых организаций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регулярного размещения на официальных сайтах в информационно-телекоммуникационной сети "Интернет" информации о результатах реализации государственной политики по развитию конкуренции, в том числе положений Национального плана, планов мероприятий ("дорожных карт") развития конкуренции на федеральном уровне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федеральные органы исполнительной власти, ответственные за реализацию Национального плана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 выявления и пресечения картелей посредством внесения изменения в законодательство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определения взаимозаменяемости лекарственных препаратов для медицинского применения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2022 г.</w:t>
            </w:r>
          </w:p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31 декабря 2022 г.</w:t>
            </w:r>
          </w:p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31 декабря 2023 г.</w:t>
            </w:r>
          </w:p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31 декабря 2024 г.</w:t>
            </w:r>
          </w:p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31 декабря 2025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Минздрав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Утверждение концепции развития оптовых продовольственных рынков 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Минпромторг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Утверждение плана мероприятий ("дорожной карты") развития организованной (биржевой) торговли на 2022 - 2025 годы с включением в него мероприятий, в том числе: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 использованию биржевых и внебиржевых индикаторов в налоговом и бюджетном регулировании и контроле;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 развитию срочного рынка, рынка производных финансовых инструментов;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 организации и развитию биржевой торговли товарами, ранее не участвовавшими в организованных торгах, товарами на экспорт, в рамках БРИКС, ЕАЭС;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 формированию системы национальных рыночных индикаторов цен на ключевые группы товаров с учетом биржевых цен, формируемых в том числе на международных и зарубежных организованных биржевых торгах;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проведения биржевых торгов нефтепродуктами с базисами поставки, на которых реализацию нефтепродуктов осуществляет одновременно не менее трех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производителей (объединение базисов поставки), для обеспечения реальной конкуренции производителей в рамках одного биржевого инструмента;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 развитию биржевых мелкооптовых торгов нефтепродуктами на базе оператора товарных поставок, в том числе с привлечением независимых нефтебаз;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 привлечению на уровне субъектов Российской Федерации к организованным торгам мелким оптом всех производителей, функционирующих в каждом из субъектов Российской Федерации;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 формированию ценовых индикаторов на нефтепродукты с учетом котировок российского биржевого фьючерсного рынка, информации о внебиржевых договорах, индикаторов биржевых спот-торгов, а также цен экспортной альтернативы (</w:t>
            </w: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нетбэк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) и иной ценовой информации зарубежных рынков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ФНС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 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заинтересованных организаций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Утверждение плана мероприятий ("дорожной карты") развития конкуренции на рынках финансовых услуг на 2022 - 2025 годы с определением в нем перечней ключевых показателей, обеспечивающих в том числе: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снижение барьеров для поставщиков финансовых услуг;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возможностей потребителя осуществлять свободный информированный выбор, в том числе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смену поставщиков финансовых услуг;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регулирования оборота данных, в том числе обеспечение конкурентного доступа финансовых организаций к данным;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формирование правовых основ антимонопольного регулирования деятельности финансовых организаций, развивающих цифровые и иные сервисы на базе экосистем (</w:t>
            </w: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мультисервисных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платформ), в том числе иностранных экосистем;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развитие института ответственности органов государственной власти за действия, искажающие конкурентное поле финансового рынка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Утверждение по согласованию с Российской академией наук плана мероприятий ("дорожной карты") развития конкуренции в сфере науки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марта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Антимонопольного центра БРИКС, в том числе его финансирования за счет бюджета Российской Федерации, проработка с государствами БРИКС вопроса трансформации в дальнейшем Антимонопольного центра БРИКС в международную структуру с эффективным финансовым и экспертным участием стран-партнеров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сентября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Определение единого порядка проведения обязательных в соответствии с законодательством Российской Федерации торгов в сфере реализации имущества, в том числе имущественных прав, в электронной форме с использованием официального сайта Российской Федерации в информационно-телекоммуникационной сети "Интернет" для размещения информации о проведении торгов во взаимодействии с электронными площадками, определенными Правительством Российской Федерации (за исключением процедур, проводимых в соответствии с законодательством Российской Федерации о несостоятельности (банкротстве)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Минюст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Минприроды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Казначейство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Росреестр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Минсельхоз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Росимущество</w:t>
            </w:r>
            <w:proofErr w:type="spellEnd"/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Разработка комплекса мер, направленных на обеспечение недискриминационного доступа к природным ресурсам, включающих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приоритет распределения природных ресурсов на аукционах в электронной форме;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федеральный закон, 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Минприроды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spacing w:after="1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доступа организациям, обладающим необходимым опытом и финансовыми ресурсами, в состав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потенциальных пользователей участков нераспределенного фонда недр федерального значения, расположенных на континентальном шельфе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закон, постановление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 декабря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Минвостокразвития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Минприроды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(с обеспечением финансирования за счет средств федерального бюджета) комплекса мероприятий, направленных на формирование информационного пространства в сферах антимонопольного регулирования, государственного регулирования цен (тарифов), контроля экономической концентрации, в сфере осуществления торговой деятельности с определением возможности интеграции с региональными и муниципальными информационными системами, включающего в том числе следующие мероприятия: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информационного взаимодействия органов регулирования с регулируемыми субъектами через единую централизованную информационно-аналитическую систему;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"личных кабинетов" для регулируемых субъектов, обеспечивающих возможность информационного обмена с антимонопольным органом, включая подачу ходатайств и уведомлений о совершении сделок и иных действий, подлежащих государственному контролю за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экономической концентрацией, и получение результатов их рассмотрения в электронном виде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в информационно-телекоммуникационной сети "Интернет" базового информационного портала по реализации государственной политики по развитию конкуренции, обеспечивающего в том числе автоматическое формирование на основе обработки больших объемов данных отчетов о реализации мероприятий по развитию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2022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расширения случаев установления долгосрочных тарифов на услуги естественных монополий по принципу "инфляция минус"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создания единой государственной системы учета государственных и муниципальных преференций, предоставляемых в соответствии с Федеральным </w:t>
            </w:r>
            <w:hyperlink r:id="rId19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законом</w:t>
              </w:r>
            </w:hyperlink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"О защите конкуренции", обеспечивающей оценку их эффективности, ведение единого реестра государственных и муниципальных преференций, оказываемых хозяйствующим субъектам, в том числе субъектам малого и среднего предпринимательства, с определением возможности интеграции с региональными и муниципальными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информационными системами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закон, 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расширения перечня информации о внебиржевых договорах по поставкам нефти, предоставляемой на биржу, в целях формирования более широкого массива данных по указанным договорам и, как следствие, развитие репрезентативных национальных индексов на нефть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развития биржевых торгов природным газом с использованием услуг оператора товарных поставок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внедрения автоматизированной информационной системы по выявлению и доказыванию ограничивающих конкуренцию соглашений на торгах с учетом </w:t>
            </w: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неконкурентных практик участников торгов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Увеличение объемов биржевых торгов сырой нефтью, а также организация проведения аукционов для заключения контрактов на экспорт нефти на биржевой электронной площадке с последующим запуском торгов фьючерсными контрактами на экспортные сорта нефти "Юралс" и ВСТО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мероприятий по развитию сотрудничества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 БРИКС по вопросам развития и защиты конкуренции, включающего вопросы биржевой торговли, восстановления условий конкуренции в Российской Федерации при нарушении антимонопольного законодательства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в Правительство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при участии Банка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Проработка вопроса о целесообразности инициирования изменений в </w:t>
            </w:r>
            <w:hyperlink r:id="rId20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приложение N 25</w:t>
              </w:r>
            </w:hyperlink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к Договору о Евразийском экономическом союзе в части закрепления возможности закупки из одного источника либо у единственного поставщика (исполнителя, подрядчика) в электронном формате с использованием электронного магазина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центров технологического трансфера для реализации антимонопольных требований при совершении трансграничных действий и сделок экономической концентрации, а также в иных случаях в целях восстановления условий конкуренции в Российской Федерации при нарушении антимонопольного законодательства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мероприятий, направленных на формирование и развитие организованной (биржевой) торговли товарами, производными финансовыми инструментами, базисным активом которых является товар, и включенных в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стратегические направления развития Евразийской экономической интеграции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Установление единого порядка подачи и получения документов на технологическое присоединение к сетям коммунальной инфраструктуры (с учетом особенностей социально значимых объектов) в режиме "одного окна"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Минстрой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Минэнерго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Разработка методики оценки ФАС России отраслевых документов стратегического планирования (за исключением схем территориального планирования Российской Федерации и схем территориального планирования субъектов Российской Федерации) с точки зрения достаточности предусмотренных данными актами мер для развития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приказ ФАС России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марта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Определение порядка функционирования информационно-аналитической системы по сопоставлению цен на однородные товары, работы, услуги в сфере государственного оборонного заказа и в гражданской сфере, включая формирование и ведение в данной системе каталога товаров (работ, услуг) для государственных нужд по государственному оборонному заказу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федеральный закон,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2023 г.,</w:t>
            </w:r>
          </w:p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6 месяцев с момента вступления в силу федерального закона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Минобороны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правового регулирования, предусматривающего унификацию и систематизацию государственных и муниципальных преференций,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предоставляемых путем передачи государственного или муниципального имущества, иных объектов гражданских прав либо путем предоставления имущественных льгот, государственных или муниципальных гарантий, в том числе порядка их предоставления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внесения изменений в </w:t>
            </w:r>
            <w:hyperlink r:id="rId21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Кодекс</w:t>
              </w:r>
            </w:hyperlink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судопроизводства Российской Федерации и Арбитражный процессуальный </w:t>
            </w:r>
            <w:hyperlink r:id="rId22" w:history="1">
              <w:r w:rsidRPr="00E240E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кодекс</w:t>
              </w:r>
            </w:hyperlink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закрепляющих подсудность решений об установлении (изменении) регулируемых цен (тарифов) арбитражным судам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введения ограничений на совершение финансовыми организациями (их группами лиц), активы (суммарные активы финансовых организаций, входящих в одну группу лиц) которых превышают значения, установленные Правительством Российской Федерации по согласованию с Банком России, сделок экономической концентрации в отношении других финансовых организаций, действующих на том же рынке финансовых услуг, за исключением случаев, предусмотренных актами Президента Российской Федерации и (или) 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Установление единых подходов и принципов пропорционального доступа финансовых организаций к получению средств бюджетов различных уровней, а также предоставлению банковских гарантий в зависимости от присвоенного уровня кредитного рейтинга по национальной рейтинговой шкале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Установление исключительно заявительного порядка участия финансовых организаций в программах субсидирования из средств бюджета при соответствии таких организаций общим требованиям к получателям субсидий, закрепленным Правительством Российской Федерации, запрета на адресное (индивидуальное) субсидирование финансовых организаций на конкурентных рынках, а также приоритета выплаты государством субсидий по факту оказания финансовой услуги на льготных условиях либо распределения средств государственной поддержки исходя из установленных Правительством Российской Федерации максимальных квот на одну финансовую организацию - участника программы субсидирования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ограничений на осуществление финансовыми организациями (их группами лиц), активы (суммарные активы финансовых организаций, входящих в одну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группу лиц) которых превышают величину, установленную Правительством Российской Федерации по согласованию с Банком России, сделок экономической концентрации в отношении нефинансовых организаций, в том числе путем установления возможности определения Правительством Российской Федерации по согласованию с Банком России допустимого срока владения акциями (долями), активами таких нефинансовых организаций, за исключением случаев, предусмотренных актами Президента Российской Федерации и (или) 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правовой основы для создания в субъектах Российской Федерации реестров хозяйствующих субъектов, оказывающих услуги по организации похорон, оказания услуг организации похорон по принципу "одного окна" на основе конкуренции с предоставлением лицам, ответственным за захоронения, полной информации об указанных хозяйствующих субъектах, содержащейся в таких реестрах, включая стоимость оказываемых ими ритуальных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Минстрой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на законодательном уровне обязанности по совершению сделок, предусматривающих переход прав владения, пользования, распоряжения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недвижимым имуществом, в том числе земельными участками, организаций, учреждаемых или контролируемых государством или муниципальными образованиями, на аукционе в электронной форме с использованием официального сайта Российской Федерации в информационно-телекоммуникационной сети "Интернет" для размещения информации о проведении торгов во взаимодействии с электронными площадками, определенными Правительством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Казначейство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Росимущество</w:t>
            </w:r>
            <w:proofErr w:type="spellEnd"/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Введение запрета на совмещение оказания ритуальных и медицинских услуг; оказание услуг по устройству и обустройству мест захоронений организациями, осуществляющими содержание кладбищ, с возможностью оказания таких услуг на конкурентной основе в соответствии с законами субъектов Российской Федерации; оказание иных ритуальных услуг исключительно на конкурентной основе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Минстрой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Минздрав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бюджетных учреждений открывать счета в банках в целях размещения средств, поступающих в самостоятельное распоряжение бюджетного учреждения от приносящей доход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квоты в размере 20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процентов для малого бизнеса в конкурсах на установку и размещение рекламных конструкций (наружной рекламы)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Минэкономразвития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Создание возможности поиска посредством единого портала государственных и муниципальных услуг сведений о кладбищах, сведений о хозяйствующих субъектах, оказывающих услуги по организации похорон, содержащихся в реестрах таких субъектов, размещенных на региональных порталах государственных и муниципальных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2023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Минстрой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реализации функционала специализированной торговой площадки, обеспечивающего возможность проведения закрытых торгов, содержащих сведения, составляющие государственную тайну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ФСБ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ФСТЭК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Определение единых принципов учета государственного и муниципального имущества, а также размещения данных о нем в открытом доступе в информационно-телекоммуникационной сети "Интернет"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Росимущество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Выявление и регистрация бесхозяйного, неучтенного, незарегистрированного государственного имущества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Росимущество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мероприятий, направленных на принятие Международной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конвенции о борьбе с картелями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доклад в Правительство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Определение состава федерального имущества, не соответствующего требованиям отнесения к категории имущества, предназначенного для осуществления государственных полномочий (непрофильное имущество)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Росимущество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Проведение оценки отраслевых документов стратегического планирования (за исключением схем территориального планирования Российской Федерации и схем территориального планирования субъектов Российской Федерации) с точки зрения достаточности предусмотренных данными актами мер для развития конкуренции и представление в Правительство Российской Федерации (а также в части документов стратегического планирования, затрагивающих деятельность финансовых организаций, в Банк России) предложений по внесению в них изменений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 (а также в части документов стратегического планирования, затрагивающих деятельность финансовых организаций, в Банк России)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прекращения государственного регулирования деятельности субъектов в отдельных сферах, в которых созданы условия для развития конкуренции (в том числе в сфере услуг в портах, аэропортах) на основании анализа состояния конкуренции, а также прекращения государственного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регулирования цен (тарифов) в конкурентных сферах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включения в примерные основные образовательные программы основного общего и среднего общего образования тем, посвященных государственной политике по развитию конкуренции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доклад в Правительство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январь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Установление конкурентного механизма допуска кредитных или иных специализированных финансовых организаций - агентов по размещению, выкупу, обмену, обслуживанию и погашению выпусков облигаций федерального займа для населения и обеспечение возможности реализации указанных облигаций населению посредством использования электронных платформ, обеспечивающих удаленное взаимодействие финансовых организаций с потребителями финансовых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июля 2024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Минфин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при участии Банка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перехода к взаимодействию субъектов градостроительных отношений с государственными органами и органами местного самоуправления в единой цифровой среде управления жизненным циклом объекта капитального строительства на основе единых классификаторов, форматов и регламентов информационного обмена, учитывающих </w:t>
            </w: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использования технологий информационного моделирования, с определением возможности интеграции с региональными и муниципальными информационными системами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2025 г.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Минстрой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Минцифры</w:t>
            </w:r>
            <w:proofErr w:type="spellEnd"/>
            <w:r w:rsidRPr="00E240E1">
              <w:rPr>
                <w:rFonts w:ascii="Times New Roman" w:hAnsi="Times New Roman" w:cs="Times New Roman"/>
                <w:sz w:val="24"/>
                <w:szCs w:val="24"/>
              </w:rPr>
              <w:t xml:space="preserve">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</w:tc>
      </w:tr>
      <w:tr w:rsidR="00E240E1" w:rsidRPr="00E240E1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подачи и получения документов на технологическое присоединение ко всем видам сетей инженерно-технического обеспечения в режиме "одного окна"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1 января 2025 г.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Минстрой России,</w:t>
            </w:r>
          </w:p>
          <w:p w:rsidR="00E240E1" w:rsidRPr="00E240E1" w:rsidRDefault="00E240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40E1">
              <w:rPr>
                <w:rFonts w:ascii="Times New Roman" w:hAnsi="Times New Roman" w:cs="Times New Roman"/>
                <w:sz w:val="24"/>
                <w:szCs w:val="24"/>
              </w:rPr>
              <w:t>ФАС России</w:t>
            </w:r>
          </w:p>
        </w:tc>
      </w:tr>
    </w:tbl>
    <w:p w:rsidR="00E240E1" w:rsidRPr="00E240E1" w:rsidRDefault="00E240E1">
      <w:pPr>
        <w:rPr>
          <w:rFonts w:ascii="Times New Roman" w:hAnsi="Times New Roman" w:cs="Times New Roman"/>
          <w:sz w:val="24"/>
          <w:szCs w:val="24"/>
        </w:rPr>
        <w:sectPr w:rsidR="00E240E1" w:rsidRPr="00E240E1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0E1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E240E1" w:rsidRPr="00E240E1" w:rsidRDefault="00E240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28"/>
      <w:bookmarkEnd w:id="4"/>
      <w:r w:rsidRPr="00E240E1">
        <w:rPr>
          <w:rFonts w:ascii="Times New Roman" w:hAnsi="Times New Roman" w:cs="Times New Roman"/>
          <w:sz w:val="24"/>
          <w:szCs w:val="24"/>
        </w:rPr>
        <w:t>&lt;*&gt; Для федеральных законов и актов Правительства Российской Федерации - срок внесения в Правительство Российской Федерации соответствующего проекта, для иных видов документов - срок их издания, опубликования или внесения (представления) в Правительство Российской Федерации.</w:t>
      </w: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240E1" w:rsidRPr="00E240E1" w:rsidRDefault="00E240E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1C6110" w:rsidRPr="00E240E1" w:rsidRDefault="001C6110">
      <w:pPr>
        <w:rPr>
          <w:rFonts w:ascii="Times New Roman" w:hAnsi="Times New Roman" w:cs="Times New Roman"/>
          <w:sz w:val="24"/>
          <w:szCs w:val="24"/>
        </w:rPr>
      </w:pPr>
    </w:p>
    <w:sectPr w:rsidR="001C6110" w:rsidRPr="00E240E1" w:rsidSect="00BE10F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E1"/>
    <w:rsid w:val="001C6110"/>
    <w:rsid w:val="00E2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6C45C-9112-48F0-AF48-4A179028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40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240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40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240E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240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240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240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240E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048C0FC5EB23FB8AA64BE62CAC114E8283C0E45D72BF3F92E2726D9E5F9FCCD1F9D2E3FDD8676E983E9A4FD991AF2D4E62C08556687EFDEFbCH" TargetMode="External"/><Relationship Id="rId13" Type="http://schemas.openxmlformats.org/officeDocument/2006/relationships/hyperlink" Target="consultantplus://offline/ref=8F048C0FC5EB23FB8AA64BE62CAC114E8287C0ED5477BF3F92E2726D9E5F9FCCD1F9D2E3FDD8676E9B3E9A4FD991AF2D4E62C08556687EFDEFbCH" TargetMode="External"/><Relationship Id="rId18" Type="http://schemas.openxmlformats.org/officeDocument/2006/relationships/hyperlink" Target="consultantplus://offline/ref=8F048C0FC5EB23FB8AA64BE62CAC114E8288C6E35C71BF3F92E2726D9E5F9FCCD1F9D2E3FDD8676E9B3E9A4FD991AF2D4E62C08556687EFDEFbC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F048C0FC5EB23FB8AA64BE62CAC114E8581C6EC5F79BF3F92E2726D9E5F9FCCC3F98AEFFCDF796F9D2BCC1E9FECb6H" TargetMode="External"/><Relationship Id="rId7" Type="http://schemas.openxmlformats.org/officeDocument/2006/relationships/hyperlink" Target="consultantplus://offline/ref=8F048C0FC5EB23FB8AA64BE62CAC114E8389C6E25476BF3F92E2726D9E5F9FCCC3F98AEFFCDF796F9D2BCC1E9FECb6H" TargetMode="External"/><Relationship Id="rId12" Type="http://schemas.openxmlformats.org/officeDocument/2006/relationships/hyperlink" Target="consultantplus://offline/ref=8F048C0FC5EB23FB8AA64BE62CAC114E8389C6E25476BF3F92E2726D9E5F9FCCC3F98AEFFCDF796F9D2BCC1E9FECb6H" TargetMode="External"/><Relationship Id="rId17" Type="http://schemas.openxmlformats.org/officeDocument/2006/relationships/hyperlink" Target="consultantplus://offline/ref=8F048C0FC5EB23FB8AA64BE62CAC114E8581C0ED5870BF3F92E2726D9E5F9FCCC3F98AEFFCDF796F9D2BCC1E9FECb6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F048C0FC5EB23FB8AA64BE62CAC114E8581C0ED5979BF3F92E2726D9E5F9FCCC3F98AEFFCDF796F9D2BCC1E9FECb6H" TargetMode="External"/><Relationship Id="rId20" Type="http://schemas.openxmlformats.org/officeDocument/2006/relationships/hyperlink" Target="consultantplus://offline/ref=8F048C0FC5EB23FB8AA64BE62CAC114E8288CAE05479BF3F92E2726D9E5F9FCCD1F9D2E3FDDD6268963E9A4FD991AF2D4E62C08556687EFDEFbC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F048C0FC5EB23FB8AA64BE62CAC114E8389C6E25476BF3F92E2726D9E5F9FCCC3F98AEFFCDF796F9D2BCC1E9FECb6H" TargetMode="External"/><Relationship Id="rId11" Type="http://schemas.openxmlformats.org/officeDocument/2006/relationships/hyperlink" Target="consultantplus://offline/ref=8F048C0FC5EB23FB8AA64BE62CAC114E8089CBE15873BF3F92E2726D9E5F9FCCD1F9D2E3FDD866669E3E9A4FD991AF2D4E62C08556687EFDEFbCH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8F048C0FC5EB23FB8AA64BE62CAC114E8389C6E25476BF3F92E2726D9E5F9FCCC3F98AEFFCDF796F9D2BCC1E9FECb6H" TargetMode="External"/><Relationship Id="rId15" Type="http://schemas.openxmlformats.org/officeDocument/2006/relationships/hyperlink" Target="consultantplus://offline/ref=8F048C0FC5EB23FB8AA64BE62CAC114E8389C6E25476BF3F92E2726D9E5F9FCCC3F98AEFFCDF796F9D2BCC1E9FECb6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F048C0FC5EB23FB8AA64BE62CAC114E8081CBE65B72BF3F92E2726D9E5F9FCCD1F9D2E3FDD8676E973E9A4FD991AF2D4E62C08556687EFDEFbCH" TargetMode="External"/><Relationship Id="rId19" Type="http://schemas.openxmlformats.org/officeDocument/2006/relationships/hyperlink" Target="consultantplus://offline/ref=8F048C0FC5EB23FB8AA64BE62CAC114E8289CAEC5A71BF3F92E2726D9E5F9FCCC3F98AEFFCDF796F9D2BCC1E9FECb6H" TargetMode="External"/><Relationship Id="rId4" Type="http://schemas.openxmlformats.org/officeDocument/2006/relationships/hyperlink" Target="consultantplus://offline/ref=8F048C0FC5EB23FB8AA64BE62CAC114E8284C4EC5F77BF3F92E2726D9E5F9FCCD1F9D2E3FDD8676F983E9A4FD991AF2D4E62C08556687EFDEFbCH" TargetMode="External"/><Relationship Id="rId9" Type="http://schemas.openxmlformats.org/officeDocument/2006/relationships/hyperlink" Target="consultantplus://offline/ref=8F048C0FC5EB23FB8AA64BE62CAC114E8087C7E35C7BE2359ABB7E6F9950C0DBD6B0DEE2FDD8656F94619F5AC8C9A32B577CC2994A6A7CEFbDH" TargetMode="External"/><Relationship Id="rId14" Type="http://schemas.openxmlformats.org/officeDocument/2006/relationships/hyperlink" Target="consultantplus://offline/ref=8F048C0FC5EB23FB8AA64BE62CAC114E8285C2E25A77BF3F92E2726D9E5F9FCCC3F98AEFFCDF796F9D2BCC1E9FECb6H" TargetMode="External"/><Relationship Id="rId22" Type="http://schemas.openxmlformats.org/officeDocument/2006/relationships/hyperlink" Target="consultantplus://offline/ref=8F048C0FC5EB23FB8AA64BE62CAC114E8581C6EC5F74BF3F92E2726D9E5F9FCCC3F98AEFFCDF796F9D2BCC1E9FECb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8996</Words>
  <Characters>51281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2022-02-17T07:27:00Z</dcterms:created>
  <dcterms:modified xsi:type="dcterms:W3CDTF">2022-02-17T07:28:00Z</dcterms:modified>
</cp:coreProperties>
</file>