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6F4" w:rsidRDefault="004662C1">
      <w:pPr>
        <w:rPr>
          <w:rFonts w:ascii="Times New Roman" w:hAnsi="Times New Roman" w:cs="Times New Roman"/>
          <w:sz w:val="28"/>
          <w:szCs w:val="28"/>
        </w:rPr>
      </w:pPr>
      <w:r w:rsidRPr="004662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662C1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4662C1" w:rsidRDefault="004662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к муниципальной программе</w:t>
      </w:r>
    </w:p>
    <w:p w:rsidR="004662C1" w:rsidRDefault="004662C1" w:rsidP="00B77EB1">
      <w:pPr>
        <w:ind w:left="-284" w:right="142" w:firstLine="307"/>
        <w:rPr>
          <w:rFonts w:ascii="Times New Roman" w:hAnsi="Times New Roman" w:cs="Times New Roman"/>
          <w:sz w:val="28"/>
          <w:szCs w:val="28"/>
        </w:rPr>
      </w:pPr>
    </w:p>
    <w:p w:rsidR="004662C1" w:rsidRPr="00F96831" w:rsidRDefault="004662C1" w:rsidP="004662C1">
      <w:pPr>
        <w:spacing w:line="233" w:lineRule="auto"/>
        <w:ind w:left="2120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F96831">
        <w:rPr>
          <w:rFonts w:ascii="Times New Roman" w:eastAsia="Times New Roman" w:hAnsi="Times New Roman" w:cs="Times New Roman"/>
          <w:bCs/>
          <w:sz w:val="28"/>
          <w:szCs w:val="28"/>
        </w:rPr>
        <w:t>Сведения о целевых показателях (индикаторах) муниципальной программы</w:t>
      </w:r>
    </w:p>
    <w:bookmarkEnd w:id="0"/>
    <w:p w:rsidR="004662C1" w:rsidRDefault="004662C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839" w:type="dxa"/>
        <w:tblInd w:w="-530" w:type="dxa"/>
        <w:tblLayout w:type="fixed"/>
        <w:tblLook w:val="04A0" w:firstRow="1" w:lastRow="0" w:firstColumn="1" w:lastColumn="0" w:noHBand="0" w:noVBand="1"/>
      </w:tblPr>
      <w:tblGrid>
        <w:gridCol w:w="496"/>
        <w:gridCol w:w="2864"/>
        <w:gridCol w:w="5406"/>
        <w:gridCol w:w="789"/>
        <w:gridCol w:w="1581"/>
        <w:gridCol w:w="1581"/>
        <w:gridCol w:w="1581"/>
        <w:gridCol w:w="1541"/>
      </w:tblGrid>
      <w:tr w:rsidR="00F67AAC" w:rsidRPr="00EF2204" w:rsidTr="00F67AAC">
        <w:trPr>
          <w:trHeight w:val="116"/>
        </w:trPr>
        <w:tc>
          <w:tcPr>
            <w:tcW w:w="496" w:type="dxa"/>
            <w:vMerge w:val="restart"/>
          </w:tcPr>
          <w:p w:rsidR="00F67AAC" w:rsidRPr="00EF2204" w:rsidRDefault="00F67AAC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64" w:type="dxa"/>
            <w:vMerge w:val="restart"/>
            <w:vAlign w:val="bottom"/>
          </w:tcPr>
          <w:p w:rsidR="00F67AAC" w:rsidRPr="00EF2204" w:rsidRDefault="00F67AAC" w:rsidP="00D830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w w:val="92"/>
                <w:sz w:val="24"/>
                <w:szCs w:val="24"/>
              </w:rPr>
              <w:t>Задачи, направленные на</w:t>
            </w:r>
          </w:p>
          <w:p w:rsidR="00F67AAC" w:rsidRPr="00EF2204" w:rsidRDefault="00F67AAC" w:rsidP="00D8300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w w:val="96"/>
                <w:sz w:val="24"/>
                <w:szCs w:val="24"/>
              </w:rPr>
              <w:t>достижение цели</w:t>
            </w:r>
          </w:p>
        </w:tc>
        <w:tc>
          <w:tcPr>
            <w:tcW w:w="5406" w:type="dxa"/>
            <w:vMerge w:val="restart"/>
            <w:vAlign w:val="bottom"/>
          </w:tcPr>
          <w:p w:rsidR="00F67AAC" w:rsidRPr="00EF2204" w:rsidRDefault="00F67AAC" w:rsidP="00D830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w w:val="94"/>
                <w:sz w:val="24"/>
                <w:szCs w:val="24"/>
              </w:rPr>
              <w:t>Наименование целевого</w:t>
            </w:r>
          </w:p>
          <w:p w:rsidR="00F67AAC" w:rsidRPr="00EF2204" w:rsidRDefault="00F67AAC" w:rsidP="00D8300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w w:val="92"/>
                <w:sz w:val="24"/>
                <w:szCs w:val="24"/>
              </w:rPr>
              <w:t>показателя (индикатора)</w:t>
            </w:r>
          </w:p>
        </w:tc>
        <w:tc>
          <w:tcPr>
            <w:tcW w:w="789" w:type="dxa"/>
            <w:vMerge w:val="restart"/>
            <w:vAlign w:val="bottom"/>
          </w:tcPr>
          <w:p w:rsidR="00F67AAC" w:rsidRPr="00EF2204" w:rsidRDefault="00F67AAC" w:rsidP="00D830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w w:val="97"/>
                <w:sz w:val="24"/>
                <w:szCs w:val="24"/>
              </w:rPr>
              <w:t>Ед.</w:t>
            </w:r>
          </w:p>
          <w:p w:rsidR="00F67AAC" w:rsidRPr="00EF2204" w:rsidRDefault="00F67AAC" w:rsidP="00466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w w:val="95"/>
                <w:sz w:val="24"/>
                <w:szCs w:val="24"/>
              </w:rPr>
              <w:t>изме</w:t>
            </w:r>
            <w:r w:rsidRPr="00EF2204">
              <w:rPr>
                <w:rFonts w:ascii="Times New Roman" w:eastAsia="Times New Roman" w:hAnsi="Times New Roman" w:cs="Times New Roman"/>
                <w:bCs/>
                <w:w w:val="92"/>
                <w:sz w:val="24"/>
                <w:szCs w:val="24"/>
              </w:rPr>
              <w:t>рени</w:t>
            </w:r>
            <w:r w:rsidRPr="00EF2204">
              <w:rPr>
                <w:rFonts w:ascii="Times New Roman" w:eastAsia="Times New Roman" w:hAnsi="Times New Roman" w:cs="Times New Roman"/>
                <w:bCs/>
                <w:w w:val="84"/>
                <w:sz w:val="24"/>
                <w:szCs w:val="24"/>
              </w:rPr>
              <w:t>я</w:t>
            </w:r>
          </w:p>
        </w:tc>
        <w:tc>
          <w:tcPr>
            <w:tcW w:w="6284" w:type="dxa"/>
            <w:gridSpan w:val="4"/>
          </w:tcPr>
          <w:p w:rsidR="00F67AAC" w:rsidRPr="00EF2204" w:rsidRDefault="00F67AAC" w:rsidP="00B2761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 (индикатора)</w:t>
            </w:r>
          </w:p>
        </w:tc>
      </w:tr>
      <w:tr w:rsidR="00F67AAC" w:rsidRPr="00EF2204" w:rsidTr="00F67AAC">
        <w:trPr>
          <w:trHeight w:val="614"/>
        </w:trPr>
        <w:tc>
          <w:tcPr>
            <w:tcW w:w="496" w:type="dxa"/>
            <w:vMerge/>
          </w:tcPr>
          <w:p w:rsidR="00F67AAC" w:rsidRPr="00EF2204" w:rsidRDefault="00F67AAC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</w:tcPr>
          <w:p w:rsidR="00F67AAC" w:rsidRPr="00EF2204" w:rsidRDefault="00F67AAC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6" w:type="dxa"/>
            <w:vMerge/>
          </w:tcPr>
          <w:p w:rsidR="00F67AAC" w:rsidRPr="00EF2204" w:rsidRDefault="00F67AAC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dxa"/>
            <w:vMerge/>
          </w:tcPr>
          <w:p w:rsidR="00F67AAC" w:rsidRPr="00EF2204" w:rsidRDefault="00F67AAC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F67AAC" w:rsidRDefault="00F67AAC" w:rsidP="00EA4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581" w:type="dxa"/>
          </w:tcPr>
          <w:p w:rsidR="00F67AAC" w:rsidRPr="005C5B56" w:rsidRDefault="00F67AAC" w:rsidP="00EA4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1581" w:type="dxa"/>
          </w:tcPr>
          <w:p w:rsidR="00F67AAC" w:rsidRPr="005C5B56" w:rsidRDefault="00F67AAC" w:rsidP="00EA4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541" w:type="dxa"/>
          </w:tcPr>
          <w:p w:rsidR="00F67AAC" w:rsidRPr="005C5B56" w:rsidRDefault="00F67AAC" w:rsidP="00EA4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2026г.</w:t>
            </w:r>
          </w:p>
        </w:tc>
      </w:tr>
      <w:tr w:rsidR="00F67AAC" w:rsidRPr="00EF2204" w:rsidTr="00F67AAC">
        <w:trPr>
          <w:trHeight w:val="105"/>
        </w:trPr>
        <w:tc>
          <w:tcPr>
            <w:tcW w:w="496" w:type="dxa"/>
          </w:tcPr>
          <w:p w:rsidR="00F67AAC" w:rsidRPr="00EF2204" w:rsidRDefault="00F67AAC" w:rsidP="004662C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4" w:type="dxa"/>
          </w:tcPr>
          <w:p w:rsidR="00F67AAC" w:rsidRPr="00EF2204" w:rsidRDefault="00F67AAC" w:rsidP="004662C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06" w:type="dxa"/>
          </w:tcPr>
          <w:p w:rsidR="00F67AAC" w:rsidRPr="00EF2204" w:rsidRDefault="00F67AAC" w:rsidP="004662C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9" w:type="dxa"/>
          </w:tcPr>
          <w:p w:rsidR="00F67AAC" w:rsidRPr="00EF2204" w:rsidRDefault="00F67AAC" w:rsidP="004662C1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1" w:type="dxa"/>
          </w:tcPr>
          <w:p w:rsidR="00F67AAC" w:rsidRPr="005C5B56" w:rsidRDefault="00F67AAC" w:rsidP="0021511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1" w:type="dxa"/>
          </w:tcPr>
          <w:p w:rsidR="00F67AAC" w:rsidRPr="005C5B56" w:rsidRDefault="00F67AAC" w:rsidP="0021511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81" w:type="dxa"/>
          </w:tcPr>
          <w:p w:rsidR="00F67AAC" w:rsidRPr="005C5B56" w:rsidRDefault="00F67AAC" w:rsidP="0021511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41" w:type="dxa"/>
          </w:tcPr>
          <w:p w:rsidR="00F67AAC" w:rsidRPr="005C5B56" w:rsidRDefault="00F67AAC" w:rsidP="0021511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67AAC" w:rsidRPr="00EF2204" w:rsidTr="00F67AAC">
        <w:trPr>
          <w:trHeight w:val="982"/>
        </w:trPr>
        <w:tc>
          <w:tcPr>
            <w:tcW w:w="496" w:type="dxa"/>
            <w:vMerge w:val="restart"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4" w:type="dxa"/>
            <w:vMerge w:val="restart"/>
          </w:tcPr>
          <w:p w:rsidR="00F67AAC" w:rsidRPr="00EF2204" w:rsidRDefault="00F67AAC" w:rsidP="00B27615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Обеспечение</w:t>
            </w:r>
          </w:p>
          <w:p w:rsidR="00F67AAC" w:rsidRPr="00EF2204" w:rsidRDefault="00F67AAC" w:rsidP="00B27615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устойчивости доходной</w:t>
            </w:r>
          </w:p>
          <w:p w:rsidR="00F67AAC" w:rsidRPr="00EF2204" w:rsidRDefault="00F67AAC" w:rsidP="00B27615">
            <w:pPr>
              <w:spacing w:line="27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w w:val="98"/>
                <w:sz w:val="24"/>
                <w:szCs w:val="24"/>
              </w:rPr>
              <w:t>базы</w:t>
            </w:r>
            <w:r w:rsidRPr="00EF2204">
              <w:rPr>
                <w:rFonts w:ascii="Times New Roman" w:eastAsia="Times New Roman" w:hAnsi="Times New Roman" w:cs="Times New Roman"/>
                <w:bCs/>
                <w:w w:val="98"/>
                <w:sz w:val="24"/>
                <w:szCs w:val="24"/>
              </w:rPr>
              <w:t xml:space="preserve"> бюджета</w:t>
            </w:r>
            <w:r>
              <w:rPr>
                <w:rFonts w:ascii="Times New Roman" w:eastAsia="Times New Roman" w:hAnsi="Times New Roman" w:cs="Times New Roman"/>
                <w:bCs/>
                <w:w w:val="98"/>
                <w:sz w:val="24"/>
                <w:szCs w:val="24"/>
              </w:rPr>
              <w:t xml:space="preserve"> округа</w:t>
            </w:r>
          </w:p>
          <w:p w:rsidR="00F67AAC" w:rsidRPr="00EF2204" w:rsidRDefault="00F67AAC" w:rsidP="00B27615">
            <w:pPr>
              <w:spacing w:line="27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для обеспечения</w:t>
            </w:r>
          </w:p>
          <w:p w:rsidR="00F67AAC" w:rsidRPr="00EF2204" w:rsidRDefault="00F67AAC" w:rsidP="00B27615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исполнения расходных</w:t>
            </w:r>
          </w:p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обязательств</w:t>
            </w:r>
          </w:p>
        </w:tc>
        <w:tc>
          <w:tcPr>
            <w:tcW w:w="5406" w:type="dxa"/>
          </w:tcPr>
          <w:p w:rsidR="00F67AAC" w:rsidRPr="00EF2204" w:rsidRDefault="00F67AAC" w:rsidP="00B276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w w:val="94"/>
                <w:sz w:val="24"/>
                <w:szCs w:val="24"/>
              </w:rPr>
              <w:t>Исполнение бюджета</w:t>
            </w:r>
            <w:r>
              <w:rPr>
                <w:rFonts w:ascii="Times New Roman" w:eastAsia="Times New Roman" w:hAnsi="Times New Roman" w:cs="Times New Roman"/>
                <w:bCs/>
                <w:w w:val="94"/>
                <w:sz w:val="24"/>
                <w:szCs w:val="24"/>
              </w:rPr>
              <w:t xml:space="preserve"> округа</w:t>
            </w:r>
            <w:r w:rsidRPr="00EF2204">
              <w:rPr>
                <w:rFonts w:ascii="Times New Roman" w:eastAsia="Times New Roman" w:hAnsi="Times New Roman" w:cs="Times New Roman"/>
                <w:bCs/>
                <w:w w:val="94"/>
                <w:sz w:val="24"/>
                <w:szCs w:val="24"/>
              </w:rPr>
              <w:t xml:space="preserve"> по налоговым </w:t>
            </w:r>
            <w:r>
              <w:rPr>
                <w:rFonts w:ascii="Times New Roman" w:eastAsia="Times New Roman" w:hAnsi="Times New Roman" w:cs="Times New Roman"/>
                <w:bCs/>
                <w:w w:val="94"/>
                <w:sz w:val="24"/>
                <w:szCs w:val="24"/>
              </w:rPr>
              <w:t xml:space="preserve">и </w:t>
            </w:r>
            <w:r w:rsidRPr="00EF2204">
              <w:rPr>
                <w:rFonts w:ascii="Times New Roman" w:eastAsia="Times New Roman" w:hAnsi="Times New Roman" w:cs="Times New Roman"/>
                <w:bCs/>
                <w:w w:val="94"/>
                <w:sz w:val="24"/>
                <w:szCs w:val="24"/>
              </w:rPr>
              <w:t>неналоговым</w:t>
            </w:r>
            <w:r>
              <w:rPr>
                <w:rFonts w:ascii="Times New Roman" w:eastAsia="Times New Roman" w:hAnsi="Times New Roman" w:cs="Times New Roman"/>
                <w:bCs/>
                <w:w w:val="94"/>
                <w:sz w:val="24"/>
                <w:szCs w:val="24"/>
              </w:rPr>
              <w:t xml:space="preserve"> </w:t>
            </w:r>
            <w:r w:rsidRPr="00EF2204">
              <w:rPr>
                <w:rFonts w:ascii="Times New Roman" w:eastAsia="Times New Roman" w:hAnsi="Times New Roman" w:cs="Times New Roman"/>
                <w:bCs/>
                <w:w w:val="94"/>
                <w:sz w:val="24"/>
                <w:szCs w:val="24"/>
              </w:rPr>
              <w:t>доходам (к первоначально-принятому бюджету)</w:t>
            </w:r>
          </w:p>
        </w:tc>
        <w:tc>
          <w:tcPr>
            <w:tcW w:w="789" w:type="dxa"/>
            <w:vAlign w:val="center"/>
          </w:tcPr>
          <w:p w:rsidR="00F67AAC" w:rsidRPr="00EF2204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F67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104,3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Не менее 98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Не менее 98</w:t>
            </w:r>
          </w:p>
        </w:tc>
        <w:tc>
          <w:tcPr>
            <w:tcW w:w="1541" w:type="dxa"/>
            <w:vAlign w:val="center"/>
          </w:tcPr>
          <w:p w:rsidR="00F67AAC" w:rsidRPr="005C5B56" w:rsidRDefault="00F67AAC" w:rsidP="007E3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Не менее 98</w:t>
            </w:r>
          </w:p>
        </w:tc>
      </w:tr>
      <w:tr w:rsidR="00F67AAC" w:rsidRPr="00EF2204" w:rsidTr="00F67AAC">
        <w:trPr>
          <w:trHeight w:val="1419"/>
        </w:trPr>
        <w:tc>
          <w:tcPr>
            <w:tcW w:w="496" w:type="dxa"/>
            <w:vMerge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6" w:type="dxa"/>
          </w:tcPr>
          <w:p w:rsidR="00F67AAC" w:rsidRPr="00EF2204" w:rsidRDefault="00F67AAC" w:rsidP="00B27615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расходов в сопоставимых показателях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округа 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(в процентах от утвержденного бюджета за счет налоговых и неналоговых доходов и дотации)</w:t>
            </w:r>
          </w:p>
        </w:tc>
        <w:tc>
          <w:tcPr>
            <w:tcW w:w="789" w:type="dxa"/>
            <w:vAlign w:val="center"/>
          </w:tcPr>
          <w:p w:rsidR="00F67AAC" w:rsidRPr="00EF2204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F67AAC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99,1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Не менее 98,5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Не менее 98,5</w:t>
            </w:r>
          </w:p>
        </w:tc>
        <w:tc>
          <w:tcPr>
            <w:tcW w:w="154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Не менее 98,5</w:t>
            </w:r>
          </w:p>
        </w:tc>
      </w:tr>
      <w:tr w:rsidR="00F67AAC" w:rsidRPr="00EF2204" w:rsidTr="00F67AAC">
        <w:trPr>
          <w:trHeight w:val="960"/>
        </w:trPr>
        <w:tc>
          <w:tcPr>
            <w:tcW w:w="496" w:type="dxa"/>
            <w:vMerge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6" w:type="dxa"/>
          </w:tcPr>
          <w:p w:rsidR="00F67AAC" w:rsidRPr="00EF2204" w:rsidRDefault="00F67AAC" w:rsidP="00B276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eastAsia="Times New Roman" w:hAnsi="Times New Roman" w:cs="Times New Roman"/>
                <w:bCs/>
                <w:w w:val="95"/>
                <w:sz w:val="24"/>
                <w:szCs w:val="24"/>
              </w:rPr>
              <w:t>Отношение объема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204">
              <w:rPr>
                <w:rFonts w:ascii="Times New Roman" w:eastAsia="Times New Roman" w:hAnsi="Times New Roman" w:cs="Times New Roman"/>
                <w:bCs/>
                <w:w w:val="94"/>
                <w:sz w:val="24"/>
                <w:szCs w:val="24"/>
              </w:rPr>
              <w:t>просроченной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204">
              <w:rPr>
                <w:rFonts w:ascii="Times New Roman" w:eastAsia="Times New Roman" w:hAnsi="Times New Roman" w:cs="Times New Roman"/>
                <w:bCs/>
                <w:w w:val="92"/>
                <w:sz w:val="24"/>
                <w:szCs w:val="24"/>
              </w:rPr>
              <w:t>кредиторской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204">
              <w:rPr>
                <w:rFonts w:ascii="Times New Roman" w:eastAsia="Times New Roman" w:hAnsi="Times New Roman" w:cs="Times New Roman"/>
                <w:bCs/>
                <w:w w:val="94"/>
                <w:sz w:val="24"/>
                <w:szCs w:val="24"/>
              </w:rPr>
              <w:t xml:space="preserve">задолженности </w:t>
            </w:r>
            <w:r w:rsidRPr="00EF2204">
              <w:rPr>
                <w:rFonts w:ascii="Times New Roman" w:eastAsia="Times New Roman" w:hAnsi="Times New Roman" w:cs="Times New Roman"/>
                <w:bCs/>
                <w:w w:val="96"/>
                <w:sz w:val="24"/>
                <w:szCs w:val="24"/>
              </w:rPr>
              <w:t>бюджета</w:t>
            </w:r>
            <w:r>
              <w:rPr>
                <w:rFonts w:ascii="Times New Roman" w:eastAsia="Times New Roman" w:hAnsi="Times New Roman" w:cs="Times New Roman"/>
                <w:bCs/>
                <w:w w:val="96"/>
                <w:sz w:val="24"/>
                <w:szCs w:val="24"/>
              </w:rPr>
              <w:t xml:space="preserve"> округа</w:t>
            </w:r>
            <w:r w:rsidRPr="00EF2204">
              <w:rPr>
                <w:rFonts w:ascii="Times New Roman" w:eastAsia="Times New Roman" w:hAnsi="Times New Roman" w:cs="Times New Roman"/>
                <w:bCs/>
                <w:w w:val="96"/>
                <w:sz w:val="24"/>
                <w:szCs w:val="24"/>
              </w:rPr>
              <w:t xml:space="preserve"> к общему объему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w w:val="95"/>
                <w:sz w:val="24"/>
                <w:szCs w:val="24"/>
              </w:rPr>
              <w:t xml:space="preserve">расходов </w:t>
            </w:r>
            <w:r w:rsidRPr="00EF2204">
              <w:rPr>
                <w:rFonts w:ascii="Times New Roman" w:eastAsia="Times New Roman" w:hAnsi="Times New Roman" w:cs="Times New Roman"/>
                <w:bCs/>
                <w:w w:val="95"/>
                <w:sz w:val="24"/>
                <w:szCs w:val="24"/>
              </w:rPr>
              <w:t>бюджета</w:t>
            </w:r>
            <w:r>
              <w:rPr>
                <w:rFonts w:ascii="Times New Roman" w:eastAsia="Times New Roman" w:hAnsi="Times New Roman" w:cs="Times New Roman"/>
                <w:bCs/>
                <w:w w:val="95"/>
                <w:sz w:val="24"/>
                <w:szCs w:val="24"/>
              </w:rPr>
              <w:t xml:space="preserve"> округа</w:t>
            </w:r>
          </w:p>
        </w:tc>
        <w:tc>
          <w:tcPr>
            <w:tcW w:w="789" w:type="dxa"/>
            <w:vAlign w:val="center"/>
          </w:tcPr>
          <w:p w:rsidR="00F67AAC" w:rsidRPr="00EF2204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F67AAC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54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67AAC" w:rsidRPr="00EF2204" w:rsidTr="00F67AAC">
        <w:trPr>
          <w:trHeight w:val="837"/>
        </w:trPr>
        <w:tc>
          <w:tcPr>
            <w:tcW w:w="496" w:type="dxa"/>
            <w:vMerge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vMerge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6" w:type="dxa"/>
          </w:tcPr>
          <w:p w:rsidR="00F67AAC" w:rsidRPr="00EF2204" w:rsidRDefault="00F67AAC" w:rsidP="00B27615">
            <w:pPr>
              <w:rPr>
                <w:rFonts w:ascii="Times New Roman" w:eastAsia="Times New Roman" w:hAnsi="Times New Roman" w:cs="Times New Roman"/>
                <w:bCs/>
                <w:w w:val="95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объема просроченной кредиторской задолженности бюджета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 по заработной плате и начислениям на выплаты по оплате труда работников муниципальных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работникам органов местного самоуправления, аппарата управления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к общему объему расходов бюджета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789" w:type="dxa"/>
            <w:vAlign w:val="center"/>
          </w:tcPr>
          <w:p w:rsidR="00F67AAC" w:rsidRPr="00EF2204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F67AAC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67AAC" w:rsidRPr="00EF2204" w:rsidTr="00F67AAC">
        <w:trPr>
          <w:trHeight w:val="583"/>
        </w:trPr>
        <w:tc>
          <w:tcPr>
            <w:tcW w:w="496" w:type="dxa"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4" w:type="dxa"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Эффективное управление муниципальным долгом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5406" w:type="dxa"/>
          </w:tcPr>
          <w:p w:rsidR="00F67AAC" w:rsidRPr="00EF2204" w:rsidRDefault="00F67AAC" w:rsidP="00B27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w w:val="94"/>
                <w:sz w:val="24"/>
                <w:szCs w:val="24"/>
              </w:rPr>
              <w:t>Отношение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204">
              <w:rPr>
                <w:rFonts w:ascii="Times New Roman" w:hAnsi="Times New Roman" w:cs="Times New Roman"/>
                <w:w w:val="93"/>
                <w:sz w:val="24"/>
                <w:szCs w:val="24"/>
              </w:rPr>
              <w:t>муниципального долга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EF2204"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к общему объему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доходов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204"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бюджета </w:t>
            </w: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округа </w:t>
            </w:r>
            <w:r w:rsidRPr="00EF2204">
              <w:rPr>
                <w:rFonts w:ascii="Times New Roman" w:hAnsi="Times New Roman" w:cs="Times New Roman"/>
                <w:w w:val="95"/>
                <w:sz w:val="24"/>
                <w:szCs w:val="24"/>
              </w:rPr>
              <w:t>без учета объема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204">
              <w:rPr>
                <w:rFonts w:ascii="Times New Roman" w:hAnsi="Times New Roman" w:cs="Times New Roman"/>
                <w:w w:val="95"/>
                <w:sz w:val="24"/>
                <w:szCs w:val="24"/>
              </w:rPr>
              <w:t>безвозмездных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204">
              <w:rPr>
                <w:rFonts w:ascii="Times New Roman" w:hAnsi="Times New Roman" w:cs="Times New Roman"/>
                <w:w w:val="94"/>
                <w:sz w:val="24"/>
                <w:szCs w:val="24"/>
              </w:rPr>
              <w:t>поступлений и (или)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204">
              <w:rPr>
                <w:rFonts w:ascii="Times New Roman" w:hAnsi="Times New Roman" w:cs="Times New Roman"/>
                <w:w w:val="93"/>
                <w:sz w:val="24"/>
                <w:szCs w:val="24"/>
              </w:rPr>
              <w:t>поступлений налоговых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204">
              <w:rPr>
                <w:rFonts w:ascii="Times New Roman" w:hAnsi="Times New Roman" w:cs="Times New Roman"/>
                <w:w w:val="97"/>
                <w:sz w:val="24"/>
                <w:szCs w:val="24"/>
              </w:rPr>
              <w:t>доходов по</w:t>
            </w:r>
          </w:p>
          <w:p w:rsidR="00F67AAC" w:rsidRDefault="00F67AAC" w:rsidP="00B27615">
            <w:pPr>
              <w:rPr>
                <w:rFonts w:ascii="Times New Roman" w:hAnsi="Times New Roman" w:cs="Times New Roman"/>
                <w:w w:val="92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w w:val="92"/>
                <w:sz w:val="24"/>
                <w:szCs w:val="24"/>
              </w:rPr>
              <w:t>дополнительным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204">
              <w:rPr>
                <w:rFonts w:ascii="Times New Roman" w:hAnsi="Times New Roman" w:cs="Times New Roman"/>
                <w:w w:val="92"/>
                <w:sz w:val="24"/>
                <w:szCs w:val="24"/>
              </w:rPr>
              <w:t>нормативам отчислений</w:t>
            </w:r>
          </w:p>
          <w:p w:rsidR="00F67AAC" w:rsidRPr="00EF2204" w:rsidRDefault="00F67AAC" w:rsidP="00F67AAC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dxa"/>
            <w:vAlign w:val="center"/>
          </w:tcPr>
          <w:p w:rsidR="00F67AAC" w:rsidRPr="00EF2204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F67AAC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67AAC" w:rsidRPr="00EF2204" w:rsidTr="00F67AAC">
        <w:trPr>
          <w:trHeight w:val="338"/>
        </w:trPr>
        <w:tc>
          <w:tcPr>
            <w:tcW w:w="496" w:type="dxa"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64" w:type="dxa"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Повышение открытости и прозрачности бюджетного процесса</w:t>
            </w:r>
          </w:p>
        </w:tc>
        <w:tc>
          <w:tcPr>
            <w:tcW w:w="5406" w:type="dxa"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 в информационно-телекоммуникационной сети «Интернет» информации о  бюджете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округа </w:t>
            </w: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и отчета об исполнении бюджета</w:t>
            </w:r>
          </w:p>
        </w:tc>
        <w:tc>
          <w:tcPr>
            <w:tcW w:w="789" w:type="dxa"/>
            <w:vAlign w:val="center"/>
          </w:tcPr>
          <w:p w:rsidR="00F67AAC" w:rsidRPr="00EF2204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Да (1) нет (0)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F67AAC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1" w:type="dxa"/>
            <w:vAlign w:val="center"/>
          </w:tcPr>
          <w:p w:rsidR="00F67AAC" w:rsidRPr="005C5B56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67AAC" w:rsidRPr="00EF2204" w:rsidTr="00F67AAC">
        <w:trPr>
          <w:trHeight w:val="944"/>
        </w:trPr>
        <w:tc>
          <w:tcPr>
            <w:tcW w:w="496" w:type="dxa"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4" w:type="dxa"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Развитие системы внутреннего муниципального финансового контроля и контроля в сфере закупок товаров, работ и услуг для обеспечения муниципальных нужд</w:t>
            </w:r>
          </w:p>
        </w:tc>
        <w:tc>
          <w:tcPr>
            <w:tcW w:w="5406" w:type="dxa"/>
          </w:tcPr>
          <w:p w:rsidR="00F67AAC" w:rsidRPr="00EF2204" w:rsidRDefault="00F67AAC" w:rsidP="00B2761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плана контрольных мероприятий </w:t>
            </w:r>
          </w:p>
        </w:tc>
        <w:tc>
          <w:tcPr>
            <w:tcW w:w="789" w:type="dxa"/>
            <w:vAlign w:val="center"/>
          </w:tcPr>
          <w:p w:rsidR="00F67AAC" w:rsidRPr="00EF2204" w:rsidRDefault="00F67AAC" w:rsidP="007E31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0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F67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1" w:type="dxa"/>
            <w:vAlign w:val="center"/>
          </w:tcPr>
          <w:p w:rsidR="00F67AAC" w:rsidRPr="005C5B56" w:rsidRDefault="00F67AAC" w:rsidP="007E3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41" w:type="dxa"/>
            <w:vAlign w:val="center"/>
          </w:tcPr>
          <w:p w:rsidR="00F67AAC" w:rsidRPr="005C5B56" w:rsidRDefault="00F67AAC" w:rsidP="007E3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5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4662C1" w:rsidRPr="00EF2204" w:rsidRDefault="004662C1">
      <w:pPr>
        <w:rPr>
          <w:rFonts w:ascii="Times New Roman" w:hAnsi="Times New Roman" w:cs="Times New Roman"/>
          <w:sz w:val="24"/>
          <w:szCs w:val="24"/>
        </w:rPr>
      </w:pPr>
    </w:p>
    <w:p w:rsidR="004662C1" w:rsidRDefault="004662C1">
      <w:pPr>
        <w:rPr>
          <w:rFonts w:ascii="Times New Roman" w:hAnsi="Times New Roman" w:cs="Times New Roman"/>
          <w:sz w:val="28"/>
          <w:szCs w:val="28"/>
        </w:rPr>
      </w:pPr>
      <w:r w:rsidRPr="004662C1">
        <w:rPr>
          <w:rFonts w:ascii="Times New Roman" w:hAnsi="Times New Roman" w:cs="Times New Roman"/>
          <w:sz w:val="28"/>
          <w:szCs w:val="28"/>
        </w:rPr>
        <w:t xml:space="preserve">          </w:t>
      </w:r>
    </w:p>
    <w:sectPr w:rsidR="004662C1" w:rsidSect="00B77EB1">
      <w:pgSz w:w="16838" w:h="11906" w:orient="landscape"/>
      <w:pgMar w:top="851" w:right="253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00EB9"/>
    <w:multiLevelType w:val="hybridMultilevel"/>
    <w:tmpl w:val="8D3C9F30"/>
    <w:lvl w:ilvl="0" w:tplc="84F65A9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40E"/>
    <w:rsid w:val="0000454E"/>
    <w:rsid w:val="00030C0B"/>
    <w:rsid w:val="00054526"/>
    <w:rsid w:val="00057AB4"/>
    <w:rsid w:val="00085EE6"/>
    <w:rsid w:val="000A1ED9"/>
    <w:rsid w:val="000B3D59"/>
    <w:rsid w:val="000D6085"/>
    <w:rsid w:val="00101CF6"/>
    <w:rsid w:val="001054CE"/>
    <w:rsid w:val="00113E7D"/>
    <w:rsid w:val="001248CA"/>
    <w:rsid w:val="00137BB4"/>
    <w:rsid w:val="00155A11"/>
    <w:rsid w:val="00167D97"/>
    <w:rsid w:val="00192C22"/>
    <w:rsid w:val="001A20C2"/>
    <w:rsid w:val="001A6BBC"/>
    <w:rsid w:val="001C096D"/>
    <w:rsid w:val="001C18F4"/>
    <w:rsid w:val="001C2394"/>
    <w:rsid w:val="001D73CD"/>
    <w:rsid w:val="001F6C25"/>
    <w:rsid w:val="00215112"/>
    <w:rsid w:val="00240986"/>
    <w:rsid w:val="002679C8"/>
    <w:rsid w:val="00271535"/>
    <w:rsid w:val="00277444"/>
    <w:rsid w:val="00281B12"/>
    <w:rsid w:val="00290561"/>
    <w:rsid w:val="002B1E86"/>
    <w:rsid w:val="002B54A3"/>
    <w:rsid w:val="002E0667"/>
    <w:rsid w:val="003049B1"/>
    <w:rsid w:val="00306AD4"/>
    <w:rsid w:val="0031248D"/>
    <w:rsid w:val="003424C9"/>
    <w:rsid w:val="0036202F"/>
    <w:rsid w:val="00375E37"/>
    <w:rsid w:val="003B1B05"/>
    <w:rsid w:val="003C336E"/>
    <w:rsid w:val="003C43A0"/>
    <w:rsid w:val="003E74B7"/>
    <w:rsid w:val="003F6675"/>
    <w:rsid w:val="00401CCC"/>
    <w:rsid w:val="004121D1"/>
    <w:rsid w:val="00412327"/>
    <w:rsid w:val="0043540E"/>
    <w:rsid w:val="0044417C"/>
    <w:rsid w:val="004662C1"/>
    <w:rsid w:val="00467AA3"/>
    <w:rsid w:val="00487096"/>
    <w:rsid w:val="004D54C9"/>
    <w:rsid w:val="0051083D"/>
    <w:rsid w:val="00511AF0"/>
    <w:rsid w:val="00515D14"/>
    <w:rsid w:val="00567620"/>
    <w:rsid w:val="0059062E"/>
    <w:rsid w:val="005B3C76"/>
    <w:rsid w:val="005B7087"/>
    <w:rsid w:val="005C5B56"/>
    <w:rsid w:val="0060761D"/>
    <w:rsid w:val="00614AF3"/>
    <w:rsid w:val="00621BCC"/>
    <w:rsid w:val="00654656"/>
    <w:rsid w:val="00677180"/>
    <w:rsid w:val="006A2895"/>
    <w:rsid w:val="006A54DF"/>
    <w:rsid w:val="006B0A5A"/>
    <w:rsid w:val="006B7AEC"/>
    <w:rsid w:val="006C4160"/>
    <w:rsid w:val="006D140F"/>
    <w:rsid w:val="006D6C87"/>
    <w:rsid w:val="00700DDE"/>
    <w:rsid w:val="007043CB"/>
    <w:rsid w:val="00712948"/>
    <w:rsid w:val="00732EC6"/>
    <w:rsid w:val="00744570"/>
    <w:rsid w:val="00745344"/>
    <w:rsid w:val="00747738"/>
    <w:rsid w:val="00772C53"/>
    <w:rsid w:val="007755AC"/>
    <w:rsid w:val="00776D9A"/>
    <w:rsid w:val="00791EC9"/>
    <w:rsid w:val="007A5047"/>
    <w:rsid w:val="007C76A5"/>
    <w:rsid w:val="007D0337"/>
    <w:rsid w:val="007D0D67"/>
    <w:rsid w:val="007D2B29"/>
    <w:rsid w:val="007E31FE"/>
    <w:rsid w:val="007F02D4"/>
    <w:rsid w:val="007F0E5B"/>
    <w:rsid w:val="007F3A26"/>
    <w:rsid w:val="00805F3B"/>
    <w:rsid w:val="008457DD"/>
    <w:rsid w:val="008540A8"/>
    <w:rsid w:val="008736EF"/>
    <w:rsid w:val="00891597"/>
    <w:rsid w:val="008A1BD9"/>
    <w:rsid w:val="008A1E56"/>
    <w:rsid w:val="008A6FAC"/>
    <w:rsid w:val="008B51CC"/>
    <w:rsid w:val="008C1402"/>
    <w:rsid w:val="008C3C2C"/>
    <w:rsid w:val="008E12B9"/>
    <w:rsid w:val="008E5A73"/>
    <w:rsid w:val="00902FD8"/>
    <w:rsid w:val="009049B9"/>
    <w:rsid w:val="00940B4C"/>
    <w:rsid w:val="00950230"/>
    <w:rsid w:val="00990888"/>
    <w:rsid w:val="00992317"/>
    <w:rsid w:val="009C499F"/>
    <w:rsid w:val="009D5F28"/>
    <w:rsid w:val="009E27E7"/>
    <w:rsid w:val="00A15EA2"/>
    <w:rsid w:val="00A16561"/>
    <w:rsid w:val="00A16D76"/>
    <w:rsid w:val="00A21412"/>
    <w:rsid w:val="00A22C7D"/>
    <w:rsid w:val="00A42CA1"/>
    <w:rsid w:val="00A4585F"/>
    <w:rsid w:val="00A648A8"/>
    <w:rsid w:val="00A6521F"/>
    <w:rsid w:val="00A75F6A"/>
    <w:rsid w:val="00A7608A"/>
    <w:rsid w:val="00A77201"/>
    <w:rsid w:val="00A95DBA"/>
    <w:rsid w:val="00A973DB"/>
    <w:rsid w:val="00AA671C"/>
    <w:rsid w:val="00AC76CB"/>
    <w:rsid w:val="00AD2C69"/>
    <w:rsid w:val="00AE064A"/>
    <w:rsid w:val="00AE0A6E"/>
    <w:rsid w:val="00B21393"/>
    <w:rsid w:val="00B22A97"/>
    <w:rsid w:val="00B27615"/>
    <w:rsid w:val="00B30B15"/>
    <w:rsid w:val="00B351B7"/>
    <w:rsid w:val="00B3596A"/>
    <w:rsid w:val="00B37F52"/>
    <w:rsid w:val="00B7077C"/>
    <w:rsid w:val="00B77EB1"/>
    <w:rsid w:val="00B83EF7"/>
    <w:rsid w:val="00BA2957"/>
    <w:rsid w:val="00BD4AC9"/>
    <w:rsid w:val="00BD619E"/>
    <w:rsid w:val="00BF0421"/>
    <w:rsid w:val="00BF4E2B"/>
    <w:rsid w:val="00C22CE1"/>
    <w:rsid w:val="00C33DE2"/>
    <w:rsid w:val="00C535F3"/>
    <w:rsid w:val="00C71D19"/>
    <w:rsid w:val="00C835F2"/>
    <w:rsid w:val="00C846F4"/>
    <w:rsid w:val="00C95152"/>
    <w:rsid w:val="00C96658"/>
    <w:rsid w:val="00CA5DB2"/>
    <w:rsid w:val="00CA62DB"/>
    <w:rsid w:val="00CB34AA"/>
    <w:rsid w:val="00CB5C22"/>
    <w:rsid w:val="00D143F1"/>
    <w:rsid w:val="00D25385"/>
    <w:rsid w:val="00D3309D"/>
    <w:rsid w:val="00D340C8"/>
    <w:rsid w:val="00D40272"/>
    <w:rsid w:val="00D458F3"/>
    <w:rsid w:val="00D53573"/>
    <w:rsid w:val="00D672BE"/>
    <w:rsid w:val="00D83006"/>
    <w:rsid w:val="00DC637B"/>
    <w:rsid w:val="00E131E9"/>
    <w:rsid w:val="00E256DC"/>
    <w:rsid w:val="00E6001A"/>
    <w:rsid w:val="00E67BDA"/>
    <w:rsid w:val="00E97ABE"/>
    <w:rsid w:val="00EA4E9C"/>
    <w:rsid w:val="00EC462D"/>
    <w:rsid w:val="00EC4F63"/>
    <w:rsid w:val="00ED4B07"/>
    <w:rsid w:val="00EF2204"/>
    <w:rsid w:val="00EF727E"/>
    <w:rsid w:val="00F06FDD"/>
    <w:rsid w:val="00F36560"/>
    <w:rsid w:val="00F56525"/>
    <w:rsid w:val="00F667D6"/>
    <w:rsid w:val="00F67AAC"/>
    <w:rsid w:val="00F825B1"/>
    <w:rsid w:val="00F96831"/>
    <w:rsid w:val="00F97480"/>
    <w:rsid w:val="00FA139A"/>
    <w:rsid w:val="00FC6576"/>
    <w:rsid w:val="00FF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0A70ED-BAFC-4133-A3D3-5E6975C3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31" w:lineRule="exact"/>
        <w:ind w:left="2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2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83EF7"/>
    <w:pPr>
      <w:ind w:left="720"/>
      <w:contextualSpacing/>
    </w:pPr>
  </w:style>
  <w:style w:type="paragraph" w:customStyle="1" w:styleId="ConsPlusNormal">
    <w:name w:val="ConsPlusNormal"/>
    <w:rsid w:val="00677180"/>
    <w:pPr>
      <w:widowControl w:val="0"/>
      <w:autoSpaceDE w:val="0"/>
      <w:autoSpaceDN w:val="0"/>
      <w:spacing w:line="240" w:lineRule="auto"/>
      <w:ind w:left="0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5B5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5B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2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</dc:creator>
  <cp:keywords/>
  <dc:description/>
  <cp:lastModifiedBy>Luda</cp:lastModifiedBy>
  <cp:revision>3</cp:revision>
  <cp:lastPrinted>2024-01-25T11:29:00Z</cp:lastPrinted>
  <dcterms:created xsi:type="dcterms:W3CDTF">2024-02-26T07:29:00Z</dcterms:created>
  <dcterms:modified xsi:type="dcterms:W3CDTF">2024-02-26T07:40:00Z</dcterms:modified>
</cp:coreProperties>
</file>