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52E" w:rsidRPr="009A252E" w:rsidRDefault="009A252E" w:rsidP="009A252E">
      <w:pPr>
        <w:rPr>
          <w:rFonts w:eastAsia="Times New Roman"/>
          <w:bCs/>
          <w:sz w:val="24"/>
          <w:szCs w:val="20"/>
          <w:lang w:val="x-none" w:eastAsia="x-none"/>
        </w:rPr>
      </w:pPr>
      <w:r w:rsidRPr="009A252E">
        <w:rPr>
          <w:rFonts w:eastAsia="Times New Roman"/>
          <w:bCs/>
          <w:sz w:val="24"/>
          <w:szCs w:val="20"/>
          <w:lang w:val="x-none" w:eastAsia="x-none"/>
        </w:rPr>
        <w:t xml:space="preserve">Приложение      </w:t>
      </w:r>
    </w:p>
    <w:p w:rsidR="009A252E" w:rsidRPr="009A252E" w:rsidRDefault="009A252E" w:rsidP="009A252E">
      <w:pPr>
        <w:rPr>
          <w:rFonts w:eastAsia="Times New Roman"/>
          <w:bCs/>
          <w:sz w:val="24"/>
          <w:szCs w:val="20"/>
          <w:lang w:val="x-none" w:eastAsia="x-none"/>
        </w:rPr>
      </w:pPr>
      <w:r w:rsidRPr="009A252E">
        <w:rPr>
          <w:rFonts w:eastAsia="Times New Roman"/>
          <w:bCs/>
          <w:sz w:val="24"/>
          <w:szCs w:val="20"/>
          <w:lang w:val="x-none" w:eastAsia="x-none"/>
        </w:rPr>
        <w:t>к постановлению</w:t>
      </w:r>
    </w:p>
    <w:p w:rsidR="009A252E" w:rsidRPr="009A252E" w:rsidRDefault="009A252E" w:rsidP="009A252E">
      <w:pPr>
        <w:rPr>
          <w:rFonts w:eastAsia="Times New Roman"/>
          <w:bCs/>
          <w:sz w:val="24"/>
          <w:szCs w:val="20"/>
          <w:lang w:val="x-none" w:eastAsia="x-none"/>
        </w:rPr>
      </w:pPr>
      <w:r w:rsidRPr="009A252E">
        <w:rPr>
          <w:rFonts w:eastAsia="Times New Roman"/>
          <w:bCs/>
          <w:sz w:val="24"/>
          <w:szCs w:val="20"/>
          <w:lang w:val="x-none" w:eastAsia="x-none"/>
        </w:rPr>
        <w:t>администрации</w:t>
      </w:r>
    </w:p>
    <w:p w:rsidR="009A252E" w:rsidRPr="009A252E" w:rsidRDefault="009A252E" w:rsidP="009A252E">
      <w:pPr>
        <w:rPr>
          <w:rFonts w:eastAsia="Times New Roman"/>
          <w:bCs/>
          <w:sz w:val="24"/>
          <w:szCs w:val="20"/>
          <w:lang w:val="x-none" w:eastAsia="x-none"/>
        </w:rPr>
      </w:pPr>
      <w:proofErr w:type="spellStart"/>
      <w:r w:rsidRPr="009A252E">
        <w:rPr>
          <w:rFonts w:eastAsia="Times New Roman"/>
          <w:bCs/>
          <w:sz w:val="24"/>
          <w:szCs w:val="20"/>
          <w:lang w:eastAsia="x-none"/>
        </w:rPr>
        <w:t>Кичменгско</w:t>
      </w:r>
      <w:proofErr w:type="spellEnd"/>
      <w:r w:rsidRPr="009A252E">
        <w:rPr>
          <w:rFonts w:eastAsia="Times New Roman"/>
          <w:bCs/>
          <w:sz w:val="24"/>
          <w:szCs w:val="20"/>
          <w:lang w:eastAsia="x-none"/>
        </w:rPr>
        <w:t>-Городецкого</w:t>
      </w:r>
      <w:r w:rsidRPr="009A252E">
        <w:rPr>
          <w:rFonts w:eastAsia="Times New Roman"/>
          <w:bCs/>
          <w:sz w:val="24"/>
          <w:szCs w:val="20"/>
          <w:lang w:val="x-none" w:eastAsia="x-none"/>
        </w:rPr>
        <w:t xml:space="preserve"> </w:t>
      </w:r>
    </w:p>
    <w:p w:rsidR="009A252E" w:rsidRPr="009A252E" w:rsidRDefault="009A252E" w:rsidP="009A252E">
      <w:pPr>
        <w:rPr>
          <w:rFonts w:eastAsia="Times New Roman"/>
          <w:bCs/>
          <w:sz w:val="24"/>
          <w:szCs w:val="20"/>
          <w:lang w:val="x-none" w:eastAsia="x-none"/>
        </w:rPr>
      </w:pPr>
      <w:r w:rsidRPr="009A252E">
        <w:rPr>
          <w:rFonts w:eastAsia="Times New Roman"/>
          <w:bCs/>
          <w:sz w:val="24"/>
          <w:szCs w:val="20"/>
          <w:lang w:val="x-none" w:eastAsia="x-none"/>
        </w:rPr>
        <w:t>муниципального округа</w:t>
      </w:r>
    </w:p>
    <w:p w:rsidR="009A252E" w:rsidRPr="009A252E" w:rsidRDefault="009A252E" w:rsidP="009A252E">
      <w:pPr>
        <w:rPr>
          <w:rFonts w:eastAsia="Times New Roman"/>
          <w:b/>
          <w:bCs/>
          <w:sz w:val="24"/>
          <w:szCs w:val="20"/>
          <w:lang w:val="x-none" w:eastAsia="x-none"/>
        </w:rPr>
      </w:pPr>
      <w:r w:rsidRPr="009A252E">
        <w:rPr>
          <w:rFonts w:eastAsia="Times New Roman"/>
          <w:bCs/>
          <w:sz w:val="24"/>
          <w:szCs w:val="20"/>
          <w:lang w:val="x-none" w:eastAsia="x-none"/>
        </w:rPr>
        <w:t>от</w:t>
      </w:r>
      <w:r w:rsidRPr="009A252E">
        <w:rPr>
          <w:rFonts w:eastAsia="Times New Roman"/>
          <w:bCs/>
          <w:sz w:val="24"/>
          <w:szCs w:val="20"/>
          <w:lang w:eastAsia="x-none"/>
        </w:rPr>
        <w:t xml:space="preserve"> </w:t>
      </w:r>
      <w:r w:rsidR="00E63F8B">
        <w:rPr>
          <w:rFonts w:eastAsia="Times New Roman"/>
          <w:bCs/>
          <w:sz w:val="24"/>
          <w:szCs w:val="20"/>
          <w:lang w:eastAsia="x-none"/>
        </w:rPr>
        <w:t>29.04.</w:t>
      </w:r>
      <w:r w:rsidRPr="009A252E">
        <w:rPr>
          <w:rFonts w:eastAsia="Times New Roman"/>
          <w:bCs/>
          <w:sz w:val="24"/>
          <w:szCs w:val="20"/>
          <w:lang w:eastAsia="x-none"/>
        </w:rPr>
        <w:t xml:space="preserve">2025 </w:t>
      </w:r>
      <w:r w:rsidRPr="009A252E">
        <w:rPr>
          <w:rFonts w:eastAsia="Times New Roman"/>
          <w:bCs/>
          <w:sz w:val="24"/>
          <w:szCs w:val="20"/>
          <w:lang w:val="x-none" w:eastAsia="x-none"/>
        </w:rPr>
        <w:t>года №</w:t>
      </w:r>
      <w:r w:rsidRPr="009A252E">
        <w:rPr>
          <w:rFonts w:eastAsia="Times New Roman"/>
          <w:bCs/>
          <w:sz w:val="24"/>
          <w:szCs w:val="20"/>
          <w:lang w:eastAsia="x-none"/>
        </w:rPr>
        <w:t xml:space="preserve"> </w:t>
      </w:r>
      <w:r w:rsidR="00E63F8B">
        <w:rPr>
          <w:rFonts w:eastAsia="Times New Roman"/>
          <w:bCs/>
          <w:sz w:val="24"/>
          <w:szCs w:val="20"/>
          <w:lang w:eastAsia="x-none"/>
        </w:rPr>
        <w:t>443</w:t>
      </w:r>
      <w:bookmarkStart w:id="0" w:name="_GoBack"/>
      <w:bookmarkEnd w:id="0"/>
    </w:p>
    <w:p w:rsidR="009A252E" w:rsidRPr="009A252E" w:rsidRDefault="009A252E" w:rsidP="009A252E">
      <w:pPr>
        <w:spacing w:line="312" w:lineRule="auto"/>
        <w:jc w:val="center"/>
        <w:rPr>
          <w:rFonts w:eastAsia="Times New Roman"/>
          <w:b/>
          <w:bCs/>
          <w:sz w:val="24"/>
          <w:szCs w:val="24"/>
        </w:rPr>
      </w:pPr>
      <w:r w:rsidRPr="009A252E">
        <w:rPr>
          <w:rFonts w:eastAsia="Times New Roman"/>
          <w:b/>
          <w:bCs/>
          <w:sz w:val="24"/>
          <w:szCs w:val="24"/>
        </w:rPr>
        <w:t>МУНИЦИПАЛЬНАЯ ПРОГРАММА</w:t>
      </w:r>
    </w:p>
    <w:p w:rsidR="009A252E" w:rsidRPr="009A252E" w:rsidRDefault="009A252E" w:rsidP="009A252E">
      <w:pPr>
        <w:spacing w:line="312" w:lineRule="auto"/>
        <w:jc w:val="center"/>
        <w:rPr>
          <w:rFonts w:eastAsia="Times New Roman"/>
          <w:b/>
          <w:bCs/>
          <w:sz w:val="24"/>
          <w:szCs w:val="24"/>
        </w:rPr>
      </w:pPr>
      <w:r w:rsidRPr="009A252E">
        <w:rPr>
          <w:rFonts w:eastAsia="Times New Roman"/>
          <w:b/>
          <w:bCs/>
          <w:sz w:val="24"/>
          <w:szCs w:val="24"/>
        </w:rPr>
        <w:t xml:space="preserve">«ОБЕСПЕЧЕНИЕ ПРОФИЛАКТИКИ ПРАВОНАРУШЕНИЙ, </w:t>
      </w:r>
    </w:p>
    <w:p w:rsidR="009A252E" w:rsidRPr="009A252E" w:rsidRDefault="009A252E" w:rsidP="009A252E">
      <w:pPr>
        <w:spacing w:line="312" w:lineRule="auto"/>
        <w:jc w:val="center"/>
        <w:rPr>
          <w:rFonts w:eastAsia="Times New Roman"/>
          <w:b/>
          <w:bCs/>
          <w:sz w:val="24"/>
          <w:szCs w:val="24"/>
        </w:rPr>
      </w:pPr>
      <w:r w:rsidRPr="009A252E">
        <w:rPr>
          <w:rFonts w:eastAsia="Times New Roman"/>
          <w:b/>
          <w:bCs/>
          <w:sz w:val="24"/>
          <w:szCs w:val="24"/>
        </w:rPr>
        <w:t>БЕЗОПАСНОСТИ НАСЕЛЕНИЯ И ТЕРРИТОРИИ КИЧМЕНГСКО-ГОРОДЕЦКОГО ОКРУГА»</w:t>
      </w:r>
    </w:p>
    <w:p w:rsidR="009A252E" w:rsidRPr="009A252E" w:rsidRDefault="009A252E" w:rsidP="009A252E">
      <w:pPr>
        <w:spacing w:line="312" w:lineRule="auto"/>
        <w:jc w:val="center"/>
        <w:rPr>
          <w:rFonts w:eastAsia="Times New Roman"/>
          <w:b/>
          <w:bCs/>
          <w:sz w:val="24"/>
          <w:szCs w:val="24"/>
        </w:rPr>
      </w:pPr>
      <w:r w:rsidRPr="009A252E">
        <w:rPr>
          <w:rFonts w:eastAsia="Times New Roman"/>
          <w:b/>
          <w:bCs/>
          <w:sz w:val="24"/>
          <w:szCs w:val="24"/>
        </w:rPr>
        <w:t xml:space="preserve">(ДАЛЕЕ – МУНИЦИПАЛЬНАЯ ПРОГРАММА) </w:t>
      </w:r>
    </w:p>
    <w:p w:rsidR="009A252E" w:rsidRPr="009A252E" w:rsidRDefault="009A252E" w:rsidP="009A252E">
      <w:pPr>
        <w:jc w:val="left"/>
        <w:rPr>
          <w:rFonts w:eastAsia="Times New Roman"/>
          <w:b/>
          <w:bCs/>
          <w:sz w:val="24"/>
          <w:szCs w:val="20"/>
          <w:lang w:val="x-none" w:eastAsia="x-none"/>
        </w:rPr>
      </w:pPr>
    </w:p>
    <w:p w:rsidR="009A252E" w:rsidRPr="009A252E" w:rsidRDefault="009A252E" w:rsidP="009A252E">
      <w:pPr>
        <w:ind w:left="360"/>
        <w:jc w:val="center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b/>
          <w:bCs/>
          <w:sz w:val="24"/>
          <w:szCs w:val="20"/>
          <w:lang w:val="en-US" w:eastAsia="x-none"/>
        </w:rPr>
        <w:t>I</w:t>
      </w:r>
      <w:r w:rsidRPr="009A252E">
        <w:rPr>
          <w:rFonts w:eastAsia="Times New Roman"/>
          <w:b/>
          <w:bCs/>
          <w:sz w:val="24"/>
          <w:szCs w:val="20"/>
          <w:lang w:val="x-none" w:eastAsia="x-none"/>
        </w:rPr>
        <w:t>. Приоритеты и цели муниципальной политики</w:t>
      </w:r>
    </w:p>
    <w:p w:rsidR="009A252E" w:rsidRPr="009A252E" w:rsidRDefault="009A252E" w:rsidP="009A252E">
      <w:pPr>
        <w:jc w:val="center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b/>
          <w:bCs/>
          <w:sz w:val="24"/>
          <w:szCs w:val="20"/>
          <w:lang w:val="x-none" w:eastAsia="x-none"/>
        </w:rPr>
        <w:t>в сфере реализации муниципальной программы</w:t>
      </w:r>
      <w:r w:rsidRPr="009A252E">
        <w:rPr>
          <w:rFonts w:eastAsia="Times New Roman"/>
          <w:sz w:val="24"/>
          <w:szCs w:val="20"/>
          <w:lang w:val="x-none" w:eastAsia="x-none"/>
        </w:rPr>
        <w:t xml:space="preserve"> </w:t>
      </w:r>
    </w:p>
    <w:p w:rsidR="009A252E" w:rsidRPr="009A252E" w:rsidRDefault="009A252E" w:rsidP="009A252E">
      <w:pPr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  </w:t>
      </w:r>
    </w:p>
    <w:p w:rsidR="009A252E" w:rsidRPr="009A252E" w:rsidRDefault="009A252E" w:rsidP="009A252E">
      <w:pPr>
        <w:suppressAutoHyphens/>
        <w:spacing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>Приоритеты муниципальной политики в сфере реализации муниципальной программы определены исходя из: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4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Концепции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общественной безопасности в Российской Федерации, утвержденной Президентом Российской Федерации от 14 ноября 2013 года № Пр-2685;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5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Указа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br/>
        <w:t xml:space="preserve">до 2036 года»;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6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Указа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Президента Российской Федерации от 2 июля 2021 года № 400 «О Стратегии национальной безопасности Российской Федерации»;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7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Указа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Президента Российской Федерации от 20 декабря 2016 года № 696 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br/>
        <w:t xml:space="preserve">«Об утверждении Основ </w:t>
      </w:r>
      <w:r w:rsidR="003D465A">
        <w:rPr>
          <w:rFonts w:eastAsia="Times New Roman"/>
          <w:sz w:val="24"/>
          <w:szCs w:val="20"/>
          <w:lang w:eastAsia="x-none"/>
        </w:rPr>
        <w:t>государственной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политики Российской Федерации в области гражданской обороны на период до 2030 года»;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8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Указа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Президента Российской Федерации от 16 октября 2019 года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года»;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9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Указа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Президента Российской Федерации от 1 января 2018 года № 2 «Об утверждении Основ </w:t>
      </w:r>
      <w:r w:rsidR="003D465A">
        <w:rPr>
          <w:rFonts w:eastAsia="Times New Roman"/>
          <w:sz w:val="24"/>
          <w:szCs w:val="20"/>
          <w:lang w:eastAsia="x-none"/>
        </w:rPr>
        <w:t>государственной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политики Российской Федерации в области пожарной безопасности на период до 2030 года»;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10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Стратегии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противодействия экстремизму в Российской Федерации, утвержденной Указом Президента Российской Федерации от </w:t>
      </w:r>
      <w:r w:rsidR="009A252E">
        <w:rPr>
          <w:rFonts w:eastAsia="Times New Roman"/>
          <w:sz w:val="24"/>
          <w:szCs w:val="20"/>
          <w:lang w:eastAsia="x-none"/>
        </w:rPr>
        <w:t>28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</w:t>
      </w:r>
      <w:r w:rsidR="009A252E">
        <w:rPr>
          <w:rFonts w:eastAsia="Times New Roman"/>
          <w:sz w:val="24"/>
          <w:szCs w:val="20"/>
          <w:lang w:eastAsia="x-none"/>
        </w:rPr>
        <w:t>декабря</w:t>
      </w:r>
      <w:r w:rsidR="009A252E">
        <w:rPr>
          <w:rFonts w:eastAsia="Times New Roman"/>
          <w:sz w:val="24"/>
          <w:szCs w:val="20"/>
          <w:lang w:val="x-none" w:eastAsia="x-none"/>
        </w:rPr>
        <w:t xml:space="preserve"> 2024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года №</w:t>
      </w:r>
      <w:r w:rsidR="009A252E">
        <w:rPr>
          <w:rFonts w:eastAsia="Times New Roman"/>
          <w:sz w:val="24"/>
          <w:szCs w:val="20"/>
          <w:lang w:val="x-none" w:eastAsia="x-none"/>
        </w:rPr>
        <w:t xml:space="preserve"> 1124</w:t>
      </w:r>
      <w:r w:rsidR="003D465A">
        <w:rPr>
          <w:rFonts w:eastAsia="Times New Roman"/>
          <w:sz w:val="24"/>
          <w:szCs w:val="20"/>
          <w:lang w:eastAsia="x-none"/>
        </w:rPr>
        <w:t>;</w:t>
      </w:r>
      <w:r w:rsidR="003D465A">
        <w:rPr>
          <w:rFonts w:eastAsia="Times New Roman"/>
          <w:sz w:val="24"/>
          <w:szCs w:val="20"/>
          <w:lang w:val="x-none" w:eastAsia="x-none"/>
        </w:rPr>
        <w:t xml:space="preserve">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11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Стратегии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</w:t>
      </w:r>
      <w:r w:rsidR="003D465A">
        <w:rPr>
          <w:rFonts w:eastAsia="Times New Roman"/>
          <w:sz w:val="24"/>
          <w:szCs w:val="20"/>
          <w:lang w:eastAsia="x-none"/>
        </w:rPr>
        <w:t>государственной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антинаркотической политики Российской Федерации до 2030 года, утвержденной Указом Президента Российской Федерации от 23 ноября 2020 года № 733;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Федерального </w:t>
      </w:r>
      <w:hyperlink r:id="rId12" w:history="1">
        <w:r w:rsidRPr="009A252E">
          <w:rPr>
            <w:rFonts w:eastAsia="Times New Roman"/>
            <w:sz w:val="24"/>
            <w:szCs w:val="20"/>
            <w:lang w:val="x-none" w:eastAsia="x-none"/>
          </w:rPr>
          <w:t>закона</w:t>
        </w:r>
      </w:hyperlink>
      <w:r w:rsidRPr="009A252E">
        <w:rPr>
          <w:rFonts w:eastAsia="Times New Roman"/>
          <w:sz w:val="24"/>
          <w:szCs w:val="20"/>
          <w:lang w:val="x-none" w:eastAsia="x-none"/>
        </w:rPr>
        <w:t xml:space="preserve"> от 23 июня 2016 года № 182-ФЗ «Об основах системы профилактики правонарушений в Российской Федерации»; </w:t>
      </w:r>
    </w:p>
    <w:p w:rsidR="009A252E" w:rsidRPr="009A252E" w:rsidRDefault="00E63F8B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hyperlink r:id="rId13" w:history="1">
        <w:r w:rsidR="009A252E" w:rsidRPr="009A252E">
          <w:rPr>
            <w:rFonts w:eastAsia="Times New Roman"/>
            <w:sz w:val="24"/>
            <w:szCs w:val="20"/>
            <w:lang w:val="x-none" w:eastAsia="x-none"/>
          </w:rPr>
          <w:t>Стратегии</w:t>
        </w:r>
      </w:hyperlink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социально-экономического развития Волого</w:t>
      </w:r>
      <w:r w:rsidR="003D465A">
        <w:rPr>
          <w:rFonts w:eastAsia="Times New Roman"/>
          <w:sz w:val="24"/>
          <w:szCs w:val="20"/>
          <w:lang w:val="x-none" w:eastAsia="x-none"/>
        </w:rPr>
        <w:t>дской области на период до 2036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 года, утвержденной постановлением Правительства области от </w:t>
      </w:r>
      <w:r w:rsidR="003D465A">
        <w:rPr>
          <w:rFonts w:eastAsia="Times New Roman"/>
          <w:sz w:val="24"/>
          <w:szCs w:val="20"/>
          <w:lang w:eastAsia="x-none"/>
        </w:rPr>
        <w:t>20 февраля</w:t>
      </w:r>
      <w:r w:rsidR="003D465A">
        <w:rPr>
          <w:rFonts w:eastAsia="Times New Roman"/>
          <w:sz w:val="24"/>
          <w:szCs w:val="20"/>
          <w:lang w:val="x-none" w:eastAsia="x-none"/>
        </w:rPr>
        <w:t xml:space="preserve"> 202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6 года </w:t>
      </w:r>
      <w:r w:rsidR="003D465A">
        <w:rPr>
          <w:rFonts w:eastAsia="Times New Roman"/>
          <w:sz w:val="24"/>
          <w:szCs w:val="20"/>
          <w:lang w:val="x-none" w:eastAsia="x-none"/>
        </w:rPr>
        <w:t>№ 194</w:t>
      </w:r>
      <w:r w:rsidR="009A252E" w:rsidRPr="009A252E">
        <w:rPr>
          <w:rFonts w:eastAsia="Times New Roman"/>
          <w:sz w:val="24"/>
          <w:szCs w:val="20"/>
          <w:lang w:val="x-none" w:eastAsia="x-none"/>
        </w:rPr>
        <w:t xml:space="preserve">.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eastAsia="x-none"/>
        </w:rPr>
      </w:pPr>
      <w:r w:rsidRPr="009A252E">
        <w:rPr>
          <w:rFonts w:eastAsia="Times New Roman"/>
          <w:sz w:val="24"/>
          <w:szCs w:val="20"/>
          <w:lang w:eastAsia="x-none"/>
        </w:rPr>
        <w:t xml:space="preserve">Стратегии социально-экономического развития </w:t>
      </w:r>
      <w:proofErr w:type="spellStart"/>
      <w:r w:rsidRPr="009A252E">
        <w:rPr>
          <w:rFonts w:eastAsia="Times New Roman"/>
          <w:sz w:val="24"/>
          <w:szCs w:val="20"/>
          <w:lang w:eastAsia="x-none"/>
        </w:rPr>
        <w:t>Кичменгско</w:t>
      </w:r>
      <w:proofErr w:type="spellEnd"/>
      <w:r w:rsidRPr="009A252E">
        <w:rPr>
          <w:rFonts w:eastAsia="Times New Roman"/>
          <w:sz w:val="24"/>
          <w:szCs w:val="20"/>
          <w:lang w:eastAsia="x-none"/>
        </w:rPr>
        <w:t>-Городецкого муниципального района Вологодской области на период до 2030 года, утвержденной постановлением администрации района от 28 декабря 2018 года №120 «О стратегии</w:t>
      </w:r>
      <w:r w:rsidRPr="009A252E">
        <w:rPr>
          <w:rFonts w:eastAsia="Times New Roman"/>
          <w:sz w:val="24"/>
          <w:szCs w:val="20"/>
          <w:lang w:val="x-none" w:eastAsia="x-none"/>
        </w:rPr>
        <w:t xml:space="preserve"> </w:t>
      </w:r>
      <w:r w:rsidRPr="009A252E">
        <w:rPr>
          <w:rFonts w:eastAsia="Times New Roman"/>
          <w:sz w:val="24"/>
          <w:szCs w:val="20"/>
          <w:lang w:eastAsia="x-none"/>
        </w:rPr>
        <w:t xml:space="preserve">социально-экономического развития </w:t>
      </w:r>
      <w:proofErr w:type="spellStart"/>
      <w:r w:rsidRPr="009A252E">
        <w:rPr>
          <w:rFonts w:eastAsia="Times New Roman"/>
          <w:sz w:val="24"/>
          <w:szCs w:val="20"/>
          <w:lang w:eastAsia="x-none"/>
        </w:rPr>
        <w:t>Кичменгско</w:t>
      </w:r>
      <w:proofErr w:type="spellEnd"/>
      <w:r w:rsidRPr="009A252E">
        <w:rPr>
          <w:rFonts w:eastAsia="Times New Roman"/>
          <w:sz w:val="24"/>
          <w:szCs w:val="20"/>
          <w:lang w:eastAsia="x-none"/>
        </w:rPr>
        <w:t>-Городецкого муниципального района на период до 2030 года»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К приоритетным направлениям и целям муниципальной политики, определенным указанными правовыми актами, отнесены в том числе: </w:t>
      </w:r>
    </w:p>
    <w:p w:rsidR="009A252E" w:rsidRPr="009A252E" w:rsidRDefault="009A252E" w:rsidP="009A252E">
      <w:pPr>
        <w:suppressAutoHyphens/>
        <w:spacing w:before="120" w:line="288" w:lineRule="atLeast"/>
        <w:ind w:firstLine="539"/>
        <w:jc w:val="both"/>
        <w:rPr>
          <w:rFonts w:eastAsia="Times New Roman"/>
          <w:sz w:val="24"/>
          <w:szCs w:val="24"/>
        </w:rPr>
      </w:pPr>
      <w:r w:rsidRPr="009A252E">
        <w:rPr>
          <w:rFonts w:eastAsia="Times New Roman"/>
          <w:sz w:val="24"/>
          <w:szCs w:val="24"/>
        </w:rPr>
        <w:t>комфортная и безопасная среда для жизни;</w:t>
      </w:r>
    </w:p>
    <w:p w:rsidR="009A252E" w:rsidRPr="009A252E" w:rsidRDefault="009A252E" w:rsidP="009A252E">
      <w:pPr>
        <w:suppressAutoHyphens/>
        <w:spacing w:before="120" w:line="288" w:lineRule="atLeast"/>
        <w:ind w:firstLine="539"/>
        <w:jc w:val="both"/>
        <w:rPr>
          <w:rFonts w:eastAsia="Times New Roman"/>
          <w:sz w:val="24"/>
          <w:szCs w:val="24"/>
        </w:rPr>
      </w:pPr>
      <w:r w:rsidRPr="009A252E">
        <w:rPr>
          <w:rFonts w:eastAsia="Times New Roman"/>
          <w:sz w:val="24"/>
          <w:szCs w:val="24"/>
        </w:rPr>
        <w:t xml:space="preserve">обеспечение муниципальной и общественной безопасности – состояния защищенности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поддержание состояния гражданской обороны на требуемом уровне в целях эффективной защиты населения, материальных и культурных ценностей от опасностей, возникающих при военных конфликтах и чрезвычайных ситуациях;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развитие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при реализации муниципальной политики в указанных сферах;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обеспечение необходимого уровня защищенности личности, имущества, общества и государства от пожаров;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пресечение экстремистской деятельности, укрепление гражданского единства, достижение межнационального (межэтнического) и межконфессионального согласия, сохранение этнокультурного многообразия народов Российской Федерации, формирование в обществе обстановки нетерпимости к экстремистской деятельности и распространению экстремистских идей;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предупреждение, выявление и пресечение незаконного оборота наркотиков и их прекурсоров, профилактика немедицинского потребления наркотиков, лечение и реабилитация больных наркоманией;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обеспечение профилактики правонарушений;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противодействие злоупотреблению алкогольной продукцией, снижение смертности населения в трудоспособном возрасте от внешних причин;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0"/>
          <w:lang w:val="x-none" w:eastAsia="x-none"/>
        </w:rPr>
      </w:pPr>
      <w:r w:rsidRPr="009A252E">
        <w:rPr>
          <w:rFonts w:eastAsia="Times New Roman"/>
          <w:sz w:val="24"/>
          <w:szCs w:val="20"/>
          <w:lang w:val="x-none" w:eastAsia="x-none"/>
        </w:rPr>
        <w:t xml:space="preserve">информационное обеспечение в сфере защиты населения и территорий области от чрезвычайных ситуаций, поддержания общественного порядка, в том числе путем создания и развития комплексной информационной системы аппаратно-программного комплекса «Безопасный город». </w:t>
      </w:r>
    </w:p>
    <w:p w:rsidR="009A252E" w:rsidRPr="009A252E" w:rsidRDefault="009A252E" w:rsidP="009A252E">
      <w:pPr>
        <w:suppressAutoHyphens/>
        <w:spacing w:before="168" w:line="288" w:lineRule="atLeast"/>
        <w:ind w:firstLine="540"/>
        <w:jc w:val="both"/>
        <w:rPr>
          <w:rFonts w:eastAsia="Times New Roman"/>
          <w:sz w:val="24"/>
          <w:szCs w:val="24"/>
          <w:lang w:val="x-none" w:eastAsia="x-none"/>
        </w:rPr>
      </w:pPr>
    </w:p>
    <w:p w:rsidR="005504F7" w:rsidRPr="009A252E" w:rsidRDefault="005504F7" w:rsidP="009A252E">
      <w:pPr>
        <w:rPr>
          <w:lang w:val="x-none"/>
        </w:rPr>
      </w:pPr>
    </w:p>
    <w:sectPr w:rsidR="005504F7" w:rsidRPr="009A252E" w:rsidSect="00C0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844"/>
    <w:rsid w:val="000E109A"/>
    <w:rsid w:val="001809B8"/>
    <w:rsid w:val="002A5D94"/>
    <w:rsid w:val="003D465A"/>
    <w:rsid w:val="005504F7"/>
    <w:rsid w:val="009A252E"/>
    <w:rsid w:val="00C04766"/>
    <w:rsid w:val="00D20844"/>
    <w:rsid w:val="00E63F8B"/>
    <w:rsid w:val="00F2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100A"/>
  <w15:chartTrackingRefBased/>
  <w15:docId w15:val="{5BE06A6B-2145-45CB-955C-02BDCB49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4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5627&amp;dst=100013&amp;field=134&amp;date=26.05.2024" TargetMode="External"/><Relationship Id="rId13" Type="http://schemas.openxmlformats.org/officeDocument/2006/relationships/hyperlink" Target="https://login.consultant.ru/link/?req=doc&amp;base=RLAW095&amp;n=226288&amp;dst=103437&amp;field=134&amp;date=26.05.2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09270&amp;dst=100013&amp;field=134&amp;date=26.05.2024" TargetMode="External"/><Relationship Id="rId12" Type="http://schemas.openxmlformats.org/officeDocument/2006/relationships/hyperlink" Target="https://login.consultant.ru/link/?req=doc&amp;base=LAW&amp;n=199976&amp;date=26.05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9271&amp;dst=100013&amp;field=134&amp;date=26.05.2024" TargetMode="External"/><Relationship Id="rId11" Type="http://schemas.openxmlformats.org/officeDocument/2006/relationships/hyperlink" Target="https://login.consultant.ru/link/?req=doc&amp;base=LAW&amp;n=443288&amp;dst=100012&amp;field=134&amp;date=26.05.2024" TargetMode="External"/><Relationship Id="rId5" Type="http://schemas.openxmlformats.org/officeDocument/2006/relationships/hyperlink" Target="https://login.consultant.ru/link/?req=doc&amp;base=LAW&amp;n=389271&amp;dst=100013&amp;field=134&amp;date=26.05.202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53838&amp;dst=100012&amp;field=134&amp;date=26.05.2024" TargetMode="External"/><Relationship Id="rId4" Type="http://schemas.openxmlformats.org/officeDocument/2006/relationships/hyperlink" Target="https://login.consultant.ru/link/?req=doc&amp;base=LAW&amp;n=154602&amp;date=26.05.2024" TargetMode="External"/><Relationship Id="rId9" Type="http://schemas.openxmlformats.org/officeDocument/2006/relationships/hyperlink" Target="https://login.consultant.ru/link/?req=doc&amp;base=LAW&amp;n=286888&amp;dst=100013&amp;field=134&amp;date=26.05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2026-04-28T10:08:00Z</cp:lastPrinted>
  <dcterms:created xsi:type="dcterms:W3CDTF">2026-04-29T08:22:00Z</dcterms:created>
  <dcterms:modified xsi:type="dcterms:W3CDTF">2026-04-29T08:22:00Z</dcterms:modified>
</cp:coreProperties>
</file>